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CD98D" w14:textId="77777777" w:rsidR="000C7BDF" w:rsidRPr="00375A69" w:rsidRDefault="00D12E99" w:rsidP="00375A69">
      <w:pPr>
        <w:pStyle w:val="Title"/>
        <w:spacing w:before="0" w:after="0" w:line="240" w:lineRule="auto"/>
        <w:ind w:right="-90"/>
        <w:jc w:val="center"/>
        <w:rPr>
          <w:b/>
          <w:color w:val="365F91"/>
          <w:sz w:val="24"/>
        </w:rPr>
      </w:pPr>
      <w:bookmarkStart w:id="0" w:name="_GoBack"/>
      <w:bookmarkEnd w:id="0"/>
      <w:r w:rsidRPr="00375A69">
        <w:rPr>
          <w:b/>
          <w:color w:val="365F91"/>
          <w:sz w:val="24"/>
        </w:rPr>
        <w:t xml:space="preserve">Policy for Syphilis, Chlamydia, Gonorrhea, and HIV Screening and </w:t>
      </w:r>
      <w:r w:rsidRPr="00375A69">
        <w:rPr>
          <w:b/>
          <w:color w:val="365F91"/>
          <w:sz w:val="24"/>
        </w:rPr>
        <w:br/>
        <w:t xml:space="preserve">Patient and Partner Management Within </w:t>
      </w:r>
    </w:p>
    <w:p w14:paraId="3622CECA" w14:textId="77777777" w:rsidR="000C7BDF" w:rsidRPr="00D060E8" w:rsidRDefault="00D12E99" w:rsidP="00B45DA0">
      <w:pPr>
        <w:pStyle w:val="Title"/>
        <w:spacing w:before="0" w:after="0" w:line="240" w:lineRule="auto"/>
        <w:ind w:right="-90"/>
        <w:jc w:val="center"/>
        <w:rPr>
          <w:b/>
          <w:color w:val="365F91"/>
          <w:sz w:val="24"/>
          <w:szCs w:val="24"/>
        </w:rPr>
      </w:pPr>
      <w:r w:rsidRPr="00D060E8">
        <w:rPr>
          <w:b/>
          <w:color w:val="365F91"/>
          <w:sz w:val="24"/>
          <w:szCs w:val="24"/>
        </w:rPr>
        <w:t>IHS</w:t>
      </w:r>
      <w:r w:rsidR="00DC2B03" w:rsidRPr="00D060E8">
        <w:rPr>
          <w:b/>
          <w:color w:val="365F91"/>
          <w:sz w:val="24"/>
          <w:szCs w:val="24"/>
        </w:rPr>
        <w:t>,</w:t>
      </w:r>
      <w:r w:rsidRPr="00D060E8">
        <w:rPr>
          <w:b/>
          <w:color w:val="365F91"/>
          <w:sz w:val="24"/>
          <w:szCs w:val="24"/>
        </w:rPr>
        <w:t xml:space="preserve"> Tribal </w:t>
      </w:r>
      <w:r w:rsidR="00DC2B03" w:rsidRPr="00D060E8">
        <w:rPr>
          <w:b/>
          <w:color w:val="365F91"/>
          <w:sz w:val="24"/>
          <w:szCs w:val="24"/>
        </w:rPr>
        <w:t xml:space="preserve">and urban Indian </w:t>
      </w:r>
      <w:r w:rsidRPr="00D060E8">
        <w:rPr>
          <w:b/>
          <w:color w:val="365F91"/>
          <w:sz w:val="24"/>
          <w:szCs w:val="24"/>
        </w:rPr>
        <w:t>Healthcare Facilities</w:t>
      </w:r>
    </w:p>
    <w:p w14:paraId="7063E9AE" w14:textId="77777777" w:rsidR="00D12E99" w:rsidRPr="00685112" w:rsidRDefault="0012629E" w:rsidP="00375A69">
      <w:pPr>
        <w:pStyle w:val="Heading1"/>
        <w:tabs>
          <w:tab w:val="left" w:pos="5040"/>
        </w:tabs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Implementation Date: </w:t>
      </w:r>
      <w:r w:rsidR="00FF558B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4"/>
          <w:szCs w:val="24"/>
        </w:rPr>
        <w:instrText xml:space="preserve"> FORMTEXT </w:instrText>
      </w:r>
      <w:r w:rsidR="00FF558B">
        <w:rPr>
          <w:sz w:val="24"/>
          <w:szCs w:val="24"/>
        </w:rPr>
      </w:r>
      <w:r w:rsidR="00FF558B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FF558B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</w:r>
      <w:r w:rsidR="00D12E99" w:rsidRPr="00685112">
        <w:rPr>
          <w:sz w:val="24"/>
          <w:szCs w:val="24"/>
        </w:rPr>
        <w:t>Review Interval:  Yearly</w:t>
      </w:r>
    </w:p>
    <w:p w14:paraId="4408B14C" w14:textId="77777777" w:rsidR="00D12E99" w:rsidRPr="00685112" w:rsidRDefault="0012629E" w:rsidP="00375A69">
      <w:pPr>
        <w:pStyle w:val="Heading1"/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Point of Contact: </w:t>
      </w:r>
      <w:r w:rsidR="00FF558B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  <w:szCs w:val="24"/>
        </w:rPr>
        <w:instrText xml:space="preserve"> FORMTEXT </w:instrText>
      </w:r>
      <w:r w:rsidR="00FF558B">
        <w:rPr>
          <w:sz w:val="24"/>
          <w:szCs w:val="24"/>
        </w:rPr>
      </w:r>
      <w:r w:rsidR="00FF558B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FF558B"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  <w:t xml:space="preserve">Clinical Site: </w:t>
      </w:r>
      <w:r w:rsidR="00FF558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 w:rsidR="00FF558B">
        <w:rPr>
          <w:sz w:val="24"/>
          <w:szCs w:val="24"/>
        </w:rPr>
      </w:r>
      <w:r w:rsidR="00FF558B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FF558B">
        <w:rPr>
          <w:sz w:val="24"/>
          <w:szCs w:val="24"/>
        </w:rPr>
        <w:fldChar w:fldCharType="end"/>
      </w:r>
      <w:bookmarkEnd w:id="3"/>
    </w:p>
    <w:p w14:paraId="1C867878" w14:textId="77777777" w:rsidR="00D12E99" w:rsidRPr="00685112" w:rsidRDefault="00D12E99" w:rsidP="00D12E99">
      <w:pPr>
        <w:tabs>
          <w:tab w:val="left" w:pos="9360"/>
        </w:tabs>
        <w:rPr>
          <w:rFonts w:ascii="Garamond" w:hAnsi="Garamond"/>
          <w:b/>
          <w:bCs/>
          <w:caps/>
          <w:sz w:val="24"/>
          <w:szCs w:val="24"/>
        </w:rPr>
      </w:pPr>
    </w:p>
    <w:p w14:paraId="6DC84E7C" w14:textId="77777777" w:rsidR="00D12E99" w:rsidRPr="00685112" w:rsidRDefault="00D12E99" w:rsidP="00D12E99">
      <w:pPr>
        <w:pStyle w:val="Heading2"/>
        <w:rPr>
          <w:sz w:val="24"/>
          <w:szCs w:val="24"/>
        </w:rPr>
      </w:pPr>
      <w:r w:rsidRPr="00685112">
        <w:rPr>
          <w:sz w:val="24"/>
          <w:szCs w:val="24"/>
        </w:rPr>
        <w:t>Purpose</w:t>
      </w:r>
    </w:p>
    <w:p w14:paraId="3877E269" w14:textId="31CD4D0E" w:rsidR="00D12E99" w:rsidRPr="00685112" w:rsidRDefault="00D12E99" w:rsidP="00375A69">
      <w:pPr>
        <w:tabs>
          <w:tab w:val="left" w:pos="9900"/>
        </w:tabs>
        <w:ind w:right="-180"/>
        <w:rPr>
          <w:sz w:val="24"/>
          <w:szCs w:val="24"/>
        </w:rPr>
      </w:pPr>
      <w:r w:rsidRPr="00685112">
        <w:rPr>
          <w:sz w:val="24"/>
          <w:szCs w:val="24"/>
        </w:rPr>
        <w:t xml:space="preserve">To expand opportunities for </w:t>
      </w:r>
      <w:r>
        <w:rPr>
          <w:sz w:val="24"/>
          <w:szCs w:val="24"/>
        </w:rPr>
        <w:t xml:space="preserve">confidential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 screening and treatment among AI/AN populations.</w:t>
      </w:r>
    </w:p>
    <w:p w14:paraId="6A359741" w14:textId="77777777" w:rsidR="00D12E99" w:rsidRPr="00685112" w:rsidRDefault="00D12E99" w:rsidP="00375A69">
      <w:pPr>
        <w:pStyle w:val="Heading2"/>
        <w:rPr>
          <w:sz w:val="24"/>
          <w:szCs w:val="24"/>
        </w:rPr>
      </w:pPr>
      <w:r w:rsidRPr="00685112">
        <w:rPr>
          <w:sz w:val="24"/>
          <w:szCs w:val="24"/>
        </w:rPr>
        <w:t>background</w:t>
      </w:r>
    </w:p>
    <w:p w14:paraId="24F892E6" w14:textId="1D1857F3" w:rsidR="00D12E99" w:rsidRPr="00685112" w:rsidRDefault="00D12E99" w:rsidP="00375A69">
      <w:pPr>
        <w:spacing w:after="120"/>
        <w:rPr>
          <w:sz w:val="24"/>
          <w:szCs w:val="24"/>
        </w:rPr>
      </w:pPr>
      <w:r w:rsidRPr="00685112">
        <w:rPr>
          <w:sz w:val="24"/>
          <w:szCs w:val="24"/>
        </w:rPr>
        <w:t xml:space="preserve">Sexually transmitted </w:t>
      </w:r>
      <w:r w:rsidR="00E50A50">
        <w:rPr>
          <w:sz w:val="24"/>
          <w:szCs w:val="24"/>
        </w:rPr>
        <w:t>infections</w:t>
      </w:r>
      <w:r w:rsidR="00E50A50" w:rsidRPr="00685112">
        <w:rPr>
          <w:sz w:val="24"/>
          <w:szCs w:val="24"/>
        </w:rPr>
        <w:t xml:space="preserve"> </w:t>
      </w:r>
      <w:r w:rsidRPr="00685112">
        <w:rPr>
          <w:sz w:val="24"/>
          <w:szCs w:val="24"/>
        </w:rPr>
        <w:t>(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>s) incl</w:t>
      </w:r>
      <w:r w:rsidR="00D972C5">
        <w:rPr>
          <w:sz w:val="24"/>
          <w:szCs w:val="24"/>
        </w:rPr>
        <w:t xml:space="preserve">uding chlamydia, gonorrhea, </w:t>
      </w:r>
      <w:r w:rsidRPr="00685112">
        <w:rPr>
          <w:sz w:val="24"/>
          <w:szCs w:val="24"/>
        </w:rPr>
        <w:t>syphilis</w:t>
      </w:r>
      <w:r w:rsidR="00D972C5">
        <w:rPr>
          <w:sz w:val="24"/>
          <w:szCs w:val="24"/>
        </w:rPr>
        <w:t>, and HIV</w:t>
      </w:r>
      <w:r w:rsidRPr="00685112">
        <w:rPr>
          <w:sz w:val="24"/>
          <w:szCs w:val="24"/>
        </w:rPr>
        <w:t xml:space="preserve"> continue to impose a significant health burden on American Indian and Alaska Native (AI/AN) people as compared to other </w:t>
      </w:r>
      <w:r w:rsidR="0077370D">
        <w:rPr>
          <w:sz w:val="24"/>
          <w:szCs w:val="24"/>
        </w:rPr>
        <w:t>racial/ethnic</w:t>
      </w:r>
      <w:r w:rsidRPr="00685112">
        <w:rPr>
          <w:sz w:val="24"/>
          <w:szCs w:val="24"/>
        </w:rPr>
        <w:t xml:space="preserve"> groups. In 20</w:t>
      </w:r>
      <w:r w:rsidR="00172CA0">
        <w:rPr>
          <w:sz w:val="24"/>
          <w:szCs w:val="24"/>
        </w:rPr>
        <w:t>13</w:t>
      </w:r>
      <w:r w:rsidRPr="00685112">
        <w:rPr>
          <w:sz w:val="24"/>
          <w:szCs w:val="24"/>
        </w:rPr>
        <w:t>, among all races and ethnicities, AI/AN had the second highest rates of chlamydia and gonorrhea and the third highest rates of primary and secondary (P&amp;S) syphilis</w:t>
      </w:r>
      <w:r w:rsidR="0077370D">
        <w:rPr>
          <w:sz w:val="24"/>
          <w:szCs w:val="24"/>
        </w:rPr>
        <w:t xml:space="preserve">. </w:t>
      </w:r>
      <w:r w:rsidRPr="00685112">
        <w:rPr>
          <w:sz w:val="24"/>
          <w:szCs w:val="24"/>
        </w:rPr>
        <w:t xml:space="preserve"> In 20</w:t>
      </w:r>
      <w:r w:rsidR="00172CA0">
        <w:rPr>
          <w:sz w:val="24"/>
          <w:szCs w:val="24"/>
        </w:rPr>
        <w:t>13</w:t>
      </w:r>
      <w:r w:rsidRPr="00685112">
        <w:rPr>
          <w:sz w:val="24"/>
          <w:szCs w:val="24"/>
        </w:rPr>
        <w:t>, reported case rates of chlamydia</w:t>
      </w:r>
      <w:r>
        <w:rPr>
          <w:sz w:val="24"/>
          <w:szCs w:val="24"/>
        </w:rPr>
        <w:t xml:space="preserve"> and</w:t>
      </w:r>
      <w:r w:rsidRPr="00685112">
        <w:rPr>
          <w:sz w:val="24"/>
          <w:szCs w:val="24"/>
        </w:rPr>
        <w:t xml:space="preserve"> gonorrhea among AI/AN were </w:t>
      </w:r>
      <w:r w:rsidR="00D406AF">
        <w:rPr>
          <w:sz w:val="24"/>
          <w:szCs w:val="24"/>
        </w:rPr>
        <w:t>nearly 4</w:t>
      </w:r>
      <w:r w:rsidR="00C1218E">
        <w:rPr>
          <w:sz w:val="24"/>
          <w:szCs w:val="24"/>
        </w:rPr>
        <w:t xml:space="preserve"> times</w:t>
      </w:r>
      <w:r w:rsidR="00172CA0">
        <w:rPr>
          <w:sz w:val="24"/>
          <w:szCs w:val="24"/>
        </w:rPr>
        <w:t xml:space="preserve"> </w:t>
      </w:r>
      <w:r w:rsidRPr="00685112">
        <w:rPr>
          <w:sz w:val="24"/>
          <w:szCs w:val="24"/>
        </w:rPr>
        <w:t>higher than comparable rates for whites</w:t>
      </w:r>
      <w:r w:rsidR="0077370D">
        <w:rPr>
          <w:sz w:val="24"/>
          <w:szCs w:val="24"/>
        </w:rPr>
        <w:t xml:space="preserve">. </w:t>
      </w:r>
      <w:r w:rsidRPr="00685112">
        <w:rPr>
          <w:sz w:val="24"/>
          <w:szCs w:val="24"/>
        </w:rPr>
        <w:t xml:space="preserve">Early diagnosis, treatment, and partner management can reduce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 transmission and manifestations of untreated infections [1]</w:t>
      </w:r>
      <w:r w:rsidR="0077370D">
        <w:rPr>
          <w:sz w:val="24"/>
          <w:szCs w:val="24"/>
        </w:rPr>
        <w:t>.</w:t>
      </w:r>
    </w:p>
    <w:p w14:paraId="6F2845D0" w14:textId="708B9CD8" w:rsidR="00D12E99" w:rsidRPr="00685112" w:rsidRDefault="00D12E99" w:rsidP="00375A69">
      <w:pPr>
        <w:spacing w:before="120" w:after="120"/>
        <w:rPr>
          <w:sz w:val="24"/>
          <w:szCs w:val="24"/>
        </w:rPr>
      </w:pPr>
      <w:r w:rsidRPr="00685112">
        <w:rPr>
          <w:sz w:val="24"/>
          <w:szCs w:val="24"/>
        </w:rPr>
        <w:t xml:space="preserve">High rates of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>s in AI/AN communities mainly affect adolescents</w:t>
      </w:r>
      <w:r w:rsidR="0077370D">
        <w:rPr>
          <w:sz w:val="24"/>
          <w:szCs w:val="24"/>
        </w:rPr>
        <w:t xml:space="preserve">. </w:t>
      </w:r>
      <w:r w:rsidRPr="00685112">
        <w:rPr>
          <w:sz w:val="24"/>
          <w:szCs w:val="24"/>
        </w:rPr>
        <w:t xml:space="preserve">Adolescents are at higher risk for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s due to a number of factors </w:t>
      </w:r>
      <w:r w:rsidR="0077370D">
        <w:rPr>
          <w:sz w:val="24"/>
          <w:szCs w:val="24"/>
        </w:rPr>
        <w:t>including</w:t>
      </w:r>
      <w:r w:rsidRPr="00685112">
        <w:rPr>
          <w:sz w:val="24"/>
          <w:szCs w:val="24"/>
        </w:rPr>
        <w:t xml:space="preserve"> involvement in higher risk sexual partnerships, multiple sex partners</w:t>
      </w:r>
      <w:r w:rsidR="0077370D">
        <w:rPr>
          <w:sz w:val="24"/>
          <w:szCs w:val="24"/>
        </w:rPr>
        <w:t>,</w:t>
      </w:r>
      <w:r w:rsidRPr="00685112">
        <w:rPr>
          <w:sz w:val="24"/>
          <w:szCs w:val="24"/>
        </w:rPr>
        <w:t xml:space="preserve"> and </w:t>
      </w:r>
      <w:r w:rsidR="005321C6">
        <w:rPr>
          <w:sz w:val="24"/>
          <w:szCs w:val="24"/>
        </w:rPr>
        <w:t>challenges in gaining access</w:t>
      </w:r>
      <w:r w:rsidRPr="00685112">
        <w:rPr>
          <w:sz w:val="24"/>
          <w:szCs w:val="24"/>
        </w:rPr>
        <w:t xml:space="preserve"> to sensitive and comprehensive sexual and reproductive health care. Moreover, unprotected sexual practices among adolescents can also lead to increased risk of unintended pregnancy and HIV infection</w:t>
      </w:r>
      <w:r w:rsidR="0077370D">
        <w:rPr>
          <w:sz w:val="24"/>
          <w:szCs w:val="24"/>
        </w:rPr>
        <w:t xml:space="preserve">. </w:t>
      </w:r>
      <w:r w:rsidRPr="00685112">
        <w:rPr>
          <w:sz w:val="24"/>
          <w:szCs w:val="24"/>
        </w:rPr>
        <w:t xml:space="preserve">High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 rates can also be indicators of limited knowledge; unclear perception of risk; and lack of, inconsistent, or incorrect use of prevention methods, such as condoms</w:t>
      </w:r>
      <w:r w:rsidR="0077370D">
        <w:rPr>
          <w:sz w:val="24"/>
          <w:szCs w:val="24"/>
        </w:rPr>
        <w:t xml:space="preserve">. </w:t>
      </w:r>
      <w:r w:rsidRPr="00685112">
        <w:rPr>
          <w:sz w:val="24"/>
          <w:szCs w:val="24"/>
        </w:rPr>
        <w:t xml:space="preserve"> These challenges support the need for increased efforts to improve access, quality, and delivery of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 testing and partner management and to encourage safer sex practices, including condom use, among populations at risk within AI/AN communities.</w:t>
      </w:r>
    </w:p>
    <w:p w14:paraId="770B289B" w14:textId="1EF4F99D" w:rsidR="00D12E99" w:rsidRDefault="00D12E99" w:rsidP="00375A69">
      <w:pPr>
        <w:spacing w:before="120" w:after="120"/>
        <w:rPr>
          <w:sz w:val="24"/>
          <w:szCs w:val="24"/>
        </w:rPr>
      </w:pPr>
      <w:r w:rsidRPr="00685112">
        <w:rPr>
          <w:sz w:val="24"/>
          <w:szCs w:val="24"/>
        </w:rPr>
        <w:t xml:space="preserve">Because there are standard recommendations for chlamydia, gonorrhea, syphilis and HIV screening and treatment, the provision of these </w:t>
      </w:r>
      <w:r>
        <w:rPr>
          <w:sz w:val="24"/>
          <w:szCs w:val="24"/>
        </w:rPr>
        <w:t xml:space="preserve">confidential </w:t>
      </w:r>
      <w:r w:rsidRPr="00685112">
        <w:rPr>
          <w:sz w:val="24"/>
          <w:szCs w:val="24"/>
        </w:rPr>
        <w:t xml:space="preserve">services can be incorporated into </w:t>
      </w:r>
      <w:r w:rsidR="0077370D">
        <w:rPr>
          <w:sz w:val="24"/>
          <w:szCs w:val="24"/>
        </w:rPr>
        <w:t>standard protocols</w:t>
      </w:r>
      <w:r w:rsidRPr="00685112">
        <w:rPr>
          <w:sz w:val="24"/>
          <w:szCs w:val="24"/>
        </w:rPr>
        <w:t xml:space="preserve"> to ensure that patient</w:t>
      </w:r>
      <w:r w:rsidR="0077370D">
        <w:rPr>
          <w:sz w:val="24"/>
          <w:szCs w:val="24"/>
        </w:rPr>
        <w:t>s</w:t>
      </w:r>
      <w:r w:rsidRPr="00685112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their sex </w:t>
      </w:r>
      <w:r w:rsidRPr="00685112">
        <w:rPr>
          <w:sz w:val="24"/>
          <w:szCs w:val="24"/>
        </w:rPr>
        <w:t>partner</w:t>
      </w:r>
      <w:r>
        <w:rPr>
          <w:sz w:val="24"/>
          <w:szCs w:val="24"/>
        </w:rPr>
        <w:t>s</w:t>
      </w:r>
      <w:r w:rsidRPr="00685112">
        <w:rPr>
          <w:sz w:val="24"/>
          <w:szCs w:val="24"/>
        </w:rPr>
        <w:t xml:space="preserve"> receive care that follows national guidelines. </w:t>
      </w:r>
      <w:r w:rsidR="0077370D">
        <w:rPr>
          <w:sz w:val="24"/>
          <w:szCs w:val="24"/>
        </w:rPr>
        <w:t>Standard protocols</w:t>
      </w:r>
      <w:r w:rsidRPr="00685112">
        <w:rPr>
          <w:sz w:val="24"/>
          <w:szCs w:val="24"/>
        </w:rPr>
        <w:t xml:space="preserve"> of this type may expand and facilitate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 screening and treatment opportunities for AI/AN communities.</w:t>
      </w:r>
      <w:r w:rsidR="00157436" w:rsidRPr="00157436">
        <w:rPr>
          <w:noProof/>
          <w:sz w:val="24"/>
          <w:szCs w:val="24"/>
          <w:lang w:bidi="ar-SA"/>
        </w:rPr>
        <w:t xml:space="preserve"> </w:t>
      </w:r>
      <w:r w:rsidR="00172CA0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364CDB44" wp14:editId="3D8482D7">
            <wp:simplePos x="0" y="0"/>
            <wp:positionH relativeFrom="page">
              <wp:posOffset>5532120</wp:posOffset>
            </wp:positionH>
            <wp:positionV relativeFrom="page">
              <wp:posOffset>9155430</wp:posOffset>
            </wp:positionV>
            <wp:extent cx="1895475" cy="600075"/>
            <wp:effectExtent l="0" t="0" r="9525" b="9525"/>
            <wp:wrapNone/>
            <wp:docPr id="3" name="Picture 3" descr="Description: C:\Users\erin.SEATTLE\AppData\Local\Microsoft\Windows\Temporary Internet Files\Content.Outlook\NC1FHH8N\logo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erin.SEATTLE\AppData\Local\Microsoft\Windows\Temporary Internet Files\Content.Outlook\NC1FHH8N\logos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1BFD1" w14:textId="6143F77D" w:rsidR="00D12E99" w:rsidRPr="00685112" w:rsidRDefault="00D12E99" w:rsidP="00375A6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lastRenderedPageBreak/>
        <w:t>The Indian Health Service provides medical services to diverse populations</w:t>
      </w:r>
      <w:r w:rsidR="0077370D">
        <w:rPr>
          <w:sz w:val="24"/>
          <w:szCs w:val="24"/>
        </w:rPr>
        <w:t xml:space="preserve">. </w:t>
      </w:r>
      <w:r>
        <w:rPr>
          <w:sz w:val="24"/>
          <w:szCs w:val="24"/>
        </w:rPr>
        <w:t>Many of these communities are small and located in rural areas</w:t>
      </w:r>
      <w:r w:rsidR="0077370D">
        <w:rPr>
          <w:sz w:val="24"/>
          <w:szCs w:val="24"/>
        </w:rPr>
        <w:t xml:space="preserve">. </w:t>
      </w:r>
      <w:r w:rsidR="00E50A50">
        <w:rPr>
          <w:sz w:val="24"/>
          <w:szCs w:val="24"/>
        </w:rPr>
        <w:t>STI</w:t>
      </w:r>
      <w:r>
        <w:rPr>
          <w:sz w:val="24"/>
          <w:szCs w:val="24"/>
        </w:rPr>
        <w:t xml:space="preserve"> screening, diagnosis and treatment should be managed using strict confidentiality</w:t>
      </w:r>
      <w:r w:rsidR="0077370D">
        <w:rPr>
          <w:sz w:val="24"/>
          <w:szCs w:val="24"/>
        </w:rPr>
        <w:t xml:space="preserve">. </w:t>
      </w:r>
      <w:r w:rsidR="005321C6">
        <w:rPr>
          <w:sz w:val="24"/>
          <w:szCs w:val="24"/>
        </w:rPr>
        <w:t xml:space="preserve">AI/AN community members may be concerned about the confidentiality of their STI testing information and sexual orientation.  </w:t>
      </w:r>
      <w:r>
        <w:rPr>
          <w:sz w:val="24"/>
          <w:szCs w:val="24"/>
        </w:rPr>
        <w:t xml:space="preserve">These concerns should be addressed with each </w:t>
      </w:r>
      <w:r w:rsidR="0077370D">
        <w:rPr>
          <w:sz w:val="24"/>
          <w:szCs w:val="24"/>
        </w:rPr>
        <w:t>patient</w:t>
      </w:r>
      <w:r w:rsidR="00A639F4">
        <w:rPr>
          <w:sz w:val="24"/>
          <w:szCs w:val="24"/>
        </w:rPr>
        <w:t>,</w:t>
      </w:r>
      <w:r w:rsidR="0077370D">
        <w:rPr>
          <w:sz w:val="24"/>
          <w:szCs w:val="24"/>
        </w:rPr>
        <w:t xml:space="preserve"> </w:t>
      </w:r>
      <w:r>
        <w:rPr>
          <w:sz w:val="24"/>
          <w:szCs w:val="24"/>
        </w:rPr>
        <w:t>with assurance that information regarding this medical information is not shared with staff, family members, or sexual partners</w:t>
      </w:r>
      <w:r w:rsidR="0077370D">
        <w:rPr>
          <w:sz w:val="24"/>
          <w:szCs w:val="24"/>
        </w:rPr>
        <w:t xml:space="preserve">. </w:t>
      </w:r>
      <w:r>
        <w:rPr>
          <w:sz w:val="24"/>
          <w:szCs w:val="24"/>
        </w:rPr>
        <w:t>These concerns may be especially important to recognize and address in smaller communities where friends, associates</w:t>
      </w:r>
      <w:r w:rsidR="0077370D">
        <w:rPr>
          <w:sz w:val="24"/>
          <w:szCs w:val="24"/>
        </w:rPr>
        <w:t>, or</w:t>
      </w:r>
      <w:r>
        <w:rPr>
          <w:sz w:val="24"/>
          <w:szCs w:val="24"/>
        </w:rPr>
        <w:t xml:space="preserve"> family members may be employed by local medical facilities</w:t>
      </w:r>
      <w:r w:rsidR="007737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63C871FE" w14:textId="77777777" w:rsidR="00D12E99" w:rsidRPr="00685112" w:rsidRDefault="00D12E99" w:rsidP="00375A69">
      <w:pPr>
        <w:pStyle w:val="Heading2"/>
        <w:rPr>
          <w:caps w:val="0"/>
          <w:sz w:val="24"/>
          <w:szCs w:val="24"/>
        </w:rPr>
      </w:pPr>
      <w:r w:rsidRPr="00685112">
        <w:rPr>
          <w:sz w:val="24"/>
          <w:szCs w:val="24"/>
        </w:rPr>
        <w:t>Resources</w:t>
      </w:r>
      <w:r w:rsidRPr="00685112">
        <w:rPr>
          <w:caps w:val="0"/>
          <w:sz w:val="24"/>
          <w:szCs w:val="24"/>
        </w:rPr>
        <w:t xml:space="preserve">  </w:t>
      </w:r>
    </w:p>
    <w:p w14:paraId="1BC9F88A" w14:textId="77777777" w:rsidR="00D12E99" w:rsidRPr="00685112" w:rsidRDefault="00D12E99" w:rsidP="00D12E99">
      <w:pPr>
        <w:rPr>
          <w:sz w:val="24"/>
          <w:szCs w:val="24"/>
        </w:rPr>
      </w:pPr>
      <w:r w:rsidRPr="00685112">
        <w:rPr>
          <w:sz w:val="24"/>
          <w:szCs w:val="24"/>
        </w:rPr>
        <w:t>National guidelines support the following recommendations. Each recommendation is referenced to an online resource.</w:t>
      </w:r>
    </w:p>
    <w:p w14:paraId="2E5099C1" w14:textId="0C2444DE" w:rsidR="00D12E99" w:rsidRPr="00685112" w:rsidRDefault="00E50A50" w:rsidP="00D972C5">
      <w:pPr>
        <w:pStyle w:val="Heading2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STI</w:t>
      </w:r>
      <w:r w:rsidR="00D12E99" w:rsidRPr="00685112">
        <w:rPr>
          <w:caps w:val="0"/>
          <w:sz w:val="24"/>
          <w:szCs w:val="24"/>
        </w:rPr>
        <w:t xml:space="preserve">/HIV </w:t>
      </w:r>
      <w:r w:rsidR="00D12E99" w:rsidRPr="00685112">
        <w:rPr>
          <w:rFonts w:cs="Calibri"/>
          <w:caps w:val="0"/>
          <w:sz w:val="24"/>
          <w:szCs w:val="24"/>
        </w:rPr>
        <w:t>SCREENING AND TESTING</w:t>
      </w:r>
      <w:r w:rsidR="00D12E99" w:rsidRPr="00685112">
        <w:rPr>
          <w:caps w:val="0"/>
          <w:sz w:val="24"/>
          <w:szCs w:val="24"/>
        </w:rPr>
        <w:t xml:space="preserve"> IN PREGNANCY</w:t>
      </w:r>
    </w:p>
    <w:p w14:paraId="65274FDC" w14:textId="358E05AC" w:rsidR="00D12E99" w:rsidRPr="00685112" w:rsidRDefault="00D12E99" w:rsidP="00375A69">
      <w:pPr>
        <w:numPr>
          <w:ilvl w:val="0"/>
          <w:numId w:val="2"/>
        </w:numPr>
        <w:spacing w:after="120"/>
        <w:ind w:left="274" w:hanging="274"/>
        <w:rPr>
          <w:sz w:val="24"/>
          <w:szCs w:val="24"/>
        </w:rPr>
      </w:pPr>
      <w:r w:rsidRPr="00685112">
        <w:rPr>
          <w:sz w:val="24"/>
          <w:szCs w:val="24"/>
        </w:rPr>
        <w:t>Syphilis screening should be performed on all pregnant women at the first prenatal visit</w:t>
      </w:r>
      <w:r w:rsidR="001A649B">
        <w:rPr>
          <w:sz w:val="24"/>
          <w:szCs w:val="24"/>
        </w:rPr>
        <w:t>.</w:t>
      </w:r>
      <w:r w:rsidR="0077370D">
        <w:rPr>
          <w:sz w:val="24"/>
          <w:szCs w:val="24"/>
        </w:rPr>
        <w:t xml:space="preserve"> </w:t>
      </w:r>
      <w:r w:rsidRPr="00685112">
        <w:rPr>
          <w:sz w:val="24"/>
          <w:szCs w:val="24"/>
        </w:rPr>
        <w:t>During periods of and in areas of high syphilis morbidity, an additional syphilis test should be performed during the third trimester (between 28-32 weeks gestation</w:t>
      </w:r>
      <w:r w:rsidRPr="00685112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</w:t>
      </w:r>
      <w:r w:rsidRPr="00B668C8">
        <w:rPr>
          <w:sz w:val="24"/>
          <w:szCs w:val="24"/>
        </w:rPr>
        <w:t>and again at delivery</w:t>
      </w:r>
      <w:r w:rsidRPr="00685112">
        <w:rPr>
          <w:rFonts w:ascii="Garamond" w:hAnsi="Garamond"/>
          <w:sz w:val="24"/>
          <w:szCs w:val="24"/>
        </w:rPr>
        <w:t>.</w:t>
      </w:r>
      <w:r w:rsidRPr="00685112">
        <w:rPr>
          <w:sz w:val="24"/>
          <w:szCs w:val="24"/>
        </w:rPr>
        <w:t xml:space="preserve"> [2]</w:t>
      </w:r>
    </w:p>
    <w:p w14:paraId="302FA774" w14:textId="6672B6B0" w:rsidR="00D12E99" w:rsidRPr="00685112" w:rsidRDefault="00D12E99" w:rsidP="00375A69">
      <w:pPr>
        <w:numPr>
          <w:ilvl w:val="0"/>
          <w:numId w:val="2"/>
        </w:numPr>
        <w:spacing w:before="60" w:after="120"/>
        <w:ind w:left="270" w:right="-270" w:hanging="270"/>
        <w:rPr>
          <w:sz w:val="24"/>
          <w:szCs w:val="24"/>
        </w:rPr>
      </w:pPr>
      <w:r w:rsidRPr="00685112">
        <w:rPr>
          <w:sz w:val="24"/>
          <w:szCs w:val="24"/>
        </w:rPr>
        <w:t>HIV testing should be provided to all pregnant women</w:t>
      </w:r>
      <w:r w:rsidR="00DC2B03">
        <w:rPr>
          <w:sz w:val="24"/>
          <w:szCs w:val="24"/>
        </w:rPr>
        <w:t>,</w:t>
      </w:r>
      <w:r w:rsidRPr="00685112">
        <w:rPr>
          <w:sz w:val="24"/>
          <w:szCs w:val="24"/>
        </w:rPr>
        <w:t xml:space="preserve"> with re-testing in the third trimester (preferably before 36 weeks’ gestation) for </w:t>
      </w:r>
      <w:r w:rsidR="00DC2B03" w:rsidRPr="00685112">
        <w:rPr>
          <w:sz w:val="24"/>
          <w:szCs w:val="24"/>
        </w:rPr>
        <w:t>high</w:t>
      </w:r>
      <w:r w:rsidR="00DC2B03">
        <w:rPr>
          <w:sz w:val="24"/>
          <w:szCs w:val="24"/>
        </w:rPr>
        <w:t>-</w:t>
      </w:r>
      <w:r w:rsidRPr="00685112">
        <w:rPr>
          <w:sz w:val="24"/>
          <w:szCs w:val="24"/>
        </w:rPr>
        <w:t>risk women (e.g.,</w:t>
      </w:r>
      <w:r w:rsidRPr="00685112">
        <w:rPr>
          <w:rFonts w:ascii="Garamond" w:hAnsi="Garamond"/>
          <w:sz w:val="24"/>
          <w:szCs w:val="24"/>
        </w:rPr>
        <w:t xml:space="preserve"> </w:t>
      </w:r>
      <w:r w:rsidRPr="00685112">
        <w:rPr>
          <w:sz w:val="24"/>
          <w:szCs w:val="24"/>
        </w:rPr>
        <w:t xml:space="preserve">women who use illicit drugs, have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>s during pregnancy, have multiple sex partners or have HIV-infected partners).</w:t>
      </w:r>
    </w:p>
    <w:p w14:paraId="2F37E2A3" w14:textId="77777777" w:rsidR="00D12E99" w:rsidRPr="00685112" w:rsidRDefault="00D12E99" w:rsidP="00375A69">
      <w:pPr>
        <w:numPr>
          <w:ilvl w:val="0"/>
          <w:numId w:val="2"/>
        </w:numPr>
        <w:spacing w:before="60" w:after="120"/>
        <w:ind w:left="270" w:right="-270" w:hanging="270"/>
        <w:rPr>
          <w:sz w:val="24"/>
          <w:szCs w:val="24"/>
        </w:rPr>
      </w:pPr>
      <w:r w:rsidRPr="00685112">
        <w:rPr>
          <w:sz w:val="24"/>
          <w:szCs w:val="24"/>
        </w:rPr>
        <w:t>Testing for chlamydia and gonorrhea should be performed at the first prenatal visit and repeated during pregnancy based on sexual risk</w:t>
      </w:r>
      <w:r w:rsidR="0077370D">
        <w:rPr>
          <w:sz w:val="24"/>
          <w:szCs w:val="24"/>
        </w:rPr>
        <w:t xml:space="preserve">. </w:t>
      </w:r>
      <w:r w:rsidRPr="00685112">
        <w:rPr>
          <w:sz w:val="24"/>
          <w:szCs w:val="24"/>
        </w:rPr>
        <w:t>This testing should utilize nucleic acid amplification test (NAAT) on vaginal or cervical swabs or urine</w:t>
      </w:r>
      <w:r w:rsidR="0077370D">
        <w:rPr>
          <w:sz w:val="24"/>
          <w:szCs w:val="24"/>
        </w:rPr>
        <w:t xml:space="preserve">. </w:t>
      </w:r>
    </w:p>
    <w:p w14:paraId="0DFE445C" w14:textId="77777777" w:rsidR="00D12E99" w:rsidRPr="00685112" w:rsidRDefault="00D12E99" w:rsidP="00375A69">
      <w:pPr>
        <w:numPr>
          <w:ilvl w:val="0"/>
          <w:numId w:val="2"/>
        </w:numPr>
        <w:spacing w:before="60" w:after="120"/>
        <w:ind w:left="270" w:right="-270" w:hanging="270"/>
        <w:rPr>
          <w:sz w:val="24"/>
          <w:szCs w:val="24"/>
        </w:rPr>
      </w:pPr>
      <w:r w:rsidRPr="00685112">
        <w:rPr>
          <w:sz w:val="24"/>
          <w:szCs w:val="24"/>
        </w:rPr>
        <w:t xml:space="preserve">Testing for hepatitis B surface antigen (HBsAg) should be performed at the first prenatal visit. </w:t>
      </w:r>
    </w:p>
    <w:p w14:paraId="6E913949" w14:textId="2844EC39" w:rsidR="00D12E99" w:rsidRPr="00685112" w:rsidRDefault="00D12E99" w:rsidP="00375A69">
      <w:pPr>
        <w:numPr>
          <w:ilvl w:val="0"/>
          <w:numId w:val="2"/>
        </w:numPr>
        <w:spacing w:before="60" w:after="120"/>
        <w:ind w:left="270" w:right="-270" w:hanging="270"/>
        <w:rPr>
          <w:sz w:val="24"/>
          <w:szCs w:val="24"/>
        </w:rPr>
      </w:pPr>
      <w:r w:rsidRPr="00685112">
        <w:rPr>
          <w:sz w:val="24"/>
          <w:szCs w:val="24"/>
        </w:rPr>
        <w:t xml:space="preserve">Consider testing for Hepatitis C </w:t>
      </w:r>
      <w:r w:rsidR="001365D8">
        <w:rPr>
          <w:sz w:val="24"/>
          <w:szCs w:val="24"/>
        </w:rPr>
        <w:t xml:space="preserve">virus (HCV) </w:t>
      </w:r>
      <w:r w:rsidRPr="00685112">
        <w:rPr>
          <w:sz w:val="24"/>
          <w:szCs w:val="24"/>
        </w:rPr>
        <w:t>for those pregnant women at risk (e.g., current or former drug users, persons with known exposure to HCV and persons with HIV).</w:t>
      </w:r>
    </w:p>
    <w:p w14:paraId="544FAABE" w14:textId="77777777" w:rsidR="00D12E99" w:rsidRPr="00685112" w:rsidRDefault="00D12E99" w:rsidP="00375A69">
      <w:pPr>
        <w:numPr>
          <w:ilvl w:val="0"/>
          <w:numId w:val="2"/>
        </w:numPr>
        <w:spacing w:before="60" w:after="120"/>
        <w:ind w:left="270" w:right="-270" w:hanging="270"/>
        <w:rPr>
          <w:sz w:val="24"/>
          <w:szCs w:val="24"/>
        </w:rPr>
      </w:pPr>
      <w:r w:rsidRPr="00685112">
        <w:rPr>
          <w:sz w:val="24"/>
          <w:szCs w:val="24"/>
        </w:rPr>
        <w:t>Papanicolaou (Pap) smear testing should be performed at the first prenatal visit if none has been documented in the previous 12 months.</w:t>
      </w:r>
    </w:p>
    <w:p w14:paraId="0F56135E" w14:textId="709061A5" w:rsidR="0047471F" w:rsidRDefault="00D12E99" w:rsidP="00375A69">
      <w:pPr>
        <w:numPr>
          <w:ilvl w:val="0"/>
          <w:numId w:val="2"/>
        </w:numPr>
        <w:spacing w:before="60" w:after="120"/>
        <w:ind w:left="270" w:right="-270" w:hanging="270"/>
        <w:rPr>
          <w:sz w:val="24"/>
          <w:szCs w:val="24"/>
        </w:rPr>
      </w:pPr>
      <w:r w:rsidRPr="00685112">
        <w:rPr>
          <w:sz w:val="24"/>
          <w:szCs w:val="24"/>
        </w:rPr>
        <w:t>Evaluation for bacterial vaginosis (BV) should occur only in those pregnant women who are symptomatic</w:t>
      </w:r>
      <w:r w:rsidR="001A649B">
        <w:rPr>
          <w:sz w:val="24"/>
          <w:szCs w:val="24"/>
        </w:rPr>
        <w:t xml:space="preserve"> with vaginal discharge</w:t>
      </w:r>
      <w:r w:rsidRPr="00685112">
        <w:rPr>
          <w:sz w:val="24"/>
          <w:szCs w:val="24"/>
        </w:rPr>
        <w:t>.</w:t>
      </w:r>
    </w:p>
    <w:p w14:paraId="7431B68A" w14:textId="59D76710" w:rsidR="00D12E99" w:rsidRPr="00685112" w:rsidRDefault="0047471F" w:rsidP="002B78E2">
      <w:pPr>
        <w:spacing w:before="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50A50">
        <w:rPr>
          <w:sz w:val="24"/>
          <w:szCs w:val="24"/>
        </w:rPr>
        <w:lastRenderedPageBreak/>
        <w:t>STI</w:t>
      </w:r>
      <w:r w:rsidR="00D12E99" w:rsidRPr="00685112">
        <w:rPr>
          <w:sz w:val="24"/>
          <w:szCs w:val="24"/>
        </w:rPr>
        <w:t xml:space="preserve"> SCREENING AND TESTING IN GENERAL POPULATIONS</w:t>
      </w:r>
    </w:p>
    <w:p w14:paraId="3234D195" w14:textId="0D5DC82A" w:rsidR="00D12E99" w:rsidRPr="00685112" w:rsidRDefault="00D12E99" w:rsidP="00375A69">
      <w:pPr>
        <w:numPr>
          <w:ilvl w:val="0"/>
          <w:numId w:val="2"/>
        </w:numPr>
        <w:spacing w:after="120"/>
        <w:ind w:left="274" w:hanging="274"/>
        <w:rPr>
          <w:sz w:val="24"/>
          <w:szCs w:val="24"/>
        </w:rPr>
      </w:pPr>
      <w:r w:rsidRPr="00685112">
        <w:rPr>
          <w:sz w:val="24"/>
          <w:szCs w:val="24"/>
        </w:rPr>
        <w:t xml:space="preserve">HIV testing should be offered to all persons </w:t>
      </w:r>
      <w:r>
        <w:rPr>
          <w:sz w:val="24"/>
          <w:szCs w:val="24"/>
        </w:rPr>
        <w:t xml:space="preserve">ages 13-64 </w:t>
      </w:r>
      <w:r w:rsidRPr="00685112">
        <w:rPr>
          <w:sz w:val="24"/>
          <w:szCs w:val="24"/>
        </w:rPr>
        <w:t>entering healthcare facilities</w:t>
      </w:r>
      <w:r w:rsidR="00217EAA">
        <w:rPr>
          <w:sz w:val="24"/>
          <w:szCs w:val="24"/>
        </w:rPr>
        <w:t xml:space="preserve"> with no documented prior testing</w:t>
      </w:r>
      <w:r w:rsidRPr="00685112">
        <w:rPr>
          <w:sz w:val="24"/>
          <w:szCs w:val="24"/>
        </w:rPr>
        <w:t xml:space="preserve"> [3]. </w:t>
      </w:r>
    </w:p>
    <w:p w14:paraId="2F5907F0" w14:textId="247C6796" w:rsidR="00D12E99" w:rsidRDefault="00D12E99" w:rsidP="00375A69">
      <w:pPr>
        <w:numPr>
          <w:ilvl w:val="0"/>
          <w:numId w:val="2"/>
        </w:numPr>
        <w:spacing w:before="60" w:after="120"/>
        <w:ind w:left="270" w:hanging="270"/>
        <w:rPr>
          <w:sz w:val="24"/>
          <w:szCs w:val="24"/>
        </w:rPr>
      </w:pPr>
      <w:r w:rsidRPr="00685112">
        <w:rPr>
          <w:sz w:val="24"/>
          <w:szCs w:val="24"/>
        </w:rPr>
        <w:t xml:space="preserve">Chlamydia </w:t>
      </w:r>
      <w:r w:rsidR="00C1218E">
        <w:rPr>
          <w:sz w:val="24"/>
          <w:szCs w:val="24"/>
        </w:rPr>
        <w:t xml:space="preserve">and gonorrhea </w:t>
      </w:r>
      <w:r w:rsidRPr="00685112">
        <w:rPr>
          <w:sz w:val="24"/>
          <w:szCs w:val="24"/>
        </w:rPr>
        <w:t>screening should be provided annually to all sexually active women under the age of 2</w:t>
      </w:r>
      <w:r w:rsidR="00B763EF">
        <w:rPr>
          <w:sz w:val="24"/>
          <w:szCs w:val="24"/>
        </w:rPr>
        <w:t>5</w:t>
      </w:r>
      <w:r w:rsidRPr="00685112">
        <w:rPr>
          <w:sz w:val="24"/>
          <w:szCs w:val="24"/>
        </w:rPr>
        <w:t xml:space="preserve"> </w:t>
      </w:r>
      <w:r w:rsidRPr="007F2B75">
        <w:rPr>
          <w:sz w:val="24"/>
          <w:szCs w:val="24"/>
        </w:rPr>
        <w:t>[</w:t>
      </w:r>
      <w:r w:rsidR="00C1218E">
        <w:rPr>
          <w:sz w:val="24"/>
          <w:szCs w:val="24"/>
        </w:rPr>
        <w:t>2</w:t>
      </w:r>
      <w:r w:rsidRPr="007F2B75">
        <w:rPr>
          <w:sz w:val="24"/>
          <w:szCs w:val="24"/>
        </w:rPr>
        <w:t>]</w:t>
      </w:r>
      <w:r w:rsidR="00E50A50">
        <w:rPr>
          <w:sz w:val="24"/>
          <w:szCs w:val="24"/>
        </w:rPr>
        <w:t xml:space="preserve"> and to women 25 years or older with risk factors</w:t>
      </w:r>
    </w:p>
    <w:p w14:paraId="05924E9E" w14:textId="21CA53DA" w:rsidR="00C1218E" w:rsidRPr="00685112" w:rsidRDefault="00C1218E" w:rsidP="00375A69">
      <w:pPr>
        <w:numPr>
          <w:ilvl w:val="0"/>
          <w:numId w:val="2"/>
        </w:numPr>
        <w:spacing w:before="60" w:after="120"/>
        <w:ind w:left="270" w:hanging="270"/>
        <w:rPr>
          <w:sz w:val="24"/>
          <w:szCs w:val="24"/>
        </w:rPr>
      </w:pPr>
      <w:r>
        <w:rPr>
          <w:sz w:val="24"/>
          <w:szCs w:val="24"/>
        </w:rPr>
        <w:t>Screening of young males should be considered in clinical settings with high prevalence of chlamydia (</w:t>
      </w:r>
      <w:r w:rsidR="00E50A50">
        <w:rPr>
          <w:sz w:val="24"/>
          <w:szCs w:val="24"/>
        </w:rPr>
        <w:t>STI</w:t>
      </w:r>
      <w:r>
        <w:rPr>
          <w:sz w:val="24"/>
          <w:szCs w:val="24"/>
        </w:rPr>
        <w:t xml:space="preserve"> clinics, adolescent clinics, corrections).</w:t>
      </w:r>
    </w:p>
    <w:p w14:paraId="58DEC15D" w14:textId="77777777" w:rsidR="00D12E99" w:rsidRPr="00685112" w:rsidRDefault="00D12E99" w:rsidP="00375A69">
      <w:pPr>
        <w:numPr>
          <w:ilvl w:val="0"/>
          <w:numId w:val="2"/>
        </w:numPr>
        <w:spacing w:before="60" w:after="120"/>
        <w:ind w:left="270" w:hanging="270"/>
        <w:rPr>
          <w:sz w:val="24"/>
          <w:szCs w:val="24"/>
        </w:rPr>
      </w:pPr>
      <w:r w:rsidRPr="00685112">
        <w:rPr>
          <w:sz w:val="24"/>
          <w:szCs w:val="24"/>
        </w:rPr>
        <w:t xml:space="preserve">Men who have sex with men (MSM) should be screened for HIV, </w:t>
      </w:r>
      <w:r w:rsidR="0082656F">
        <w:rPr>
          <w:sz w:val="24"/>
          <w:szCs w:val="24"/>
        </w:rPr>
        <w:t xml:space="preserve">Hepatitis C, </w:t>
      </w:r>
      <w:r w:rsidRPr="00685112">
        <w:rPr>
          <w:sz w:val="24"/>
          <w:szCs w:val="24"/>
        </w:rPr>
        <w:t>syphilis, chlamydia, and gonorrhea at least annually and more frequently based on sexual risk [2].</w:t>
      </w:r>
    </w:p>
    <w:p w14:paraId="74ACEEF0" w14:textId="77777777" w:rsidR="00D12E99" w:rsidRDefault="00D12E99" w:rsidP="00375A69">
      <w:pPr>
        <w:numPr>
          <w:ilvl w:val="0"/>
          <w:numId w:val="2"/>
        </w:numPr>
        <w:spacing w:before="60" w:after="120"/>
        <w:ind w:left="270" w:hanging="270"/>
        <w:rPr>
          <w:sz w:val="24"/>
          <w:szCs w:val="24"/>
        </w:rPr>
      </w:pPr>
      <w:r w:rsidRPr="00685112">
        <w:rPr>
          <w:sz w:val="24"/>
          <w:szCs w:val="24"/>
        </w:rPr>
        <w:t>Specimens collected for gonorrhea and chlamydia in MSM should be obtained from the urethral (penile), rectal, and/or oral regions based on sexual behavior [2].</w:t>
      </w:r>
    </w:p>
    <w:p w14:paraId="29576B72" w14:textId="77777777" w:rsidR="00C1218E" w:rsidRPr="00685112" w:rsidRDefault="00C1218E" w:rsidP="00375A69">
      <w:pPr>
        <w:numPr>
          <w:ilvl w:val="0"/>
          <w:numId w:val="2"/>
        </w:numPr>
        <w:spacing w:before="60" w:after="120"/>
        <w:ind w:left="270" w:hanging="270"/>
        <w:rPr>
          <w:sz w:val="24"/>
          <w:szCs w:val="24"/>
        </w:rPr>
      </w:pPr>
      <w:r w:rsidRPr="00685112">
        <w:rPr>
          <w:sz w:val="24"/>
          <w:szCs w:val="24"/>
        </w:rPr>
        <w:t xml:space="preserve">Persons diagnosed with chlamydia </w:t>
      </w:r>
      <w:r>
        <w:rPr>
          <w:sz w:val="24"/>
          <w:szCs w:val="24"/>
        </w:rPr>
        <w:t xml:space="preserve">or gonorrhea </w:t>
      </w:r>
      <w:r w:rsidRPr="00685112">
        <w:rPr>
          <w:sz w:val="24"/>
          <w:szCs w:val="24"/>
        </w:rPr>
        <w:t xml:space="preserve">should be re-tested 3 months </w:t>
      </w:r>
      <w:r>
        <w:rPr>
          <w:sz w:val="24"/>
          <w:szCs w:val="24"/>
        </w:rPr>
        <w:t xml:space="preserve">after treatment </w:t>
      </w:r>
      <w:r w:rsidRPr="00685112">
        <w:rPr>
          <w:sz w:val="24"/>
          <w:szCs w:val="24"/>
        </w:rPr>
        <w:t>to identify and treat re-infection [2].</w:t>
      </w:r>
      <w:r>
        <w:rPr>
          <w:sz w:val="24"/>
          <w:szCs w:val="24"/>
        </w:rPr>
        <w:t xml:space="preserve"> Pregnant patients should be re-tested 3-4 weeks after treatment.  </w:t>
      </w:r>
    </w:p>
    <w:p w14:paraId="19C1AA71" w14:textId="2C186A31" w:rsidR="00D12E99" w:rsidRPr="00685112" w:rsidRDefault="00D12E99" w:rsidP="00375A69">
      <w:pPr>
        <w:numPr>
          <w:ilvl w:val="0"/>
          <w:numId w:val="2"/>
        </w:numPr>
        <w:spacing w:before="60" w:after="120"/>
        <w:ind w:left="270" w:hanging="270"/>
        <w:rPr>
          <w:sz w:val="24"/>
          <w:szCs w:val="24"/>
        </w:rPr>
      </w:pPr>
      <w:r w:rsidRPr="00685112">
        <w:rPr>
          <w:sz w:val="24"/>
          <w:szCs w:val="24"/>
        </w:rPr>
        <w:t xml:space="preserve">Due to similar behavioral risk factors and the risk of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/HIV co-transmission, persons diagnosed with a bacterial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 or HIV should receive testing for other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s (e.g., HIV, chlamydia, gonorrhea, and syphilis) [2]. </w:t>
      </w:r>
    </w:p>
    <w:p w14:paraId="35B4631B" w14:textId="27BEFF56" w:rsidR="00D12E99" w:rsidRPr="00685112" w:rsidRDefault="00D12E99" w:rsidP="00375A69">
      <w:pPr>
        <w:numPr>
          <w:ilvl w:val="0"/>
          <w:numId w:val="2"/>
        </w:numPr>
        <w:spacing w:before="60" w:after="120"/>
        <w:ind w:left="274" w:hanging="274"/>
        <w:rPr>
          <w:sz w:val="24"/>
          <w:szCs w:val="24"/>
        </w:rPr>
      </w:pPr>
      <w:r w:rsidRPr="00685112">
        <w:rPr>
          <w:sz w:val="24"/>
          <w:szCs w:val="24"/>
        </w:rPr>
        <w:t xml:space="preserve">Sexual risk assessments should be included in </w:t>
      </w:r>
      <w:r w:rsidR="0077370D" w:rsidRPr="00685112">
        <w:rPr>
          <w:sz w:val="24"/>
          <w:szCs w:val="24"/>
        </w:rPr>
        <w:t>provider</w:t>
      </w:r>
      <w:r w:rsidR="0077370D">
        <w:rPr>
          <w:sz w:val="24"/>
          <w:szCs w:val="24"/>
        </w:rPr>
        <w:t>-</w:t>
      </w:r>
      <w:r w:rsidRPr="00685112">
        <w:rPr>
          <w:sz w:val="24"/>
          <w:szCs w:val="24"/>
        </w:rPr>
        <w:t>collected medical intakes</w:t>
      </w:r>
      <w:r w:rsidR="0077370D">
        <w:rPr>
          <w:sz w:val="24"/>
          <w:szCs w:val="24"/>
        </w:rPr>
        <w:t xml:space="preserve">.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 screening among persons not mentioned above should be based on sexual risk behaviors including</w:t>
      </w:r>
      <w:r w:rsidR="0077370D">
        <w:rPr>
          <w:sz w:val="24"/>
          <w:szCs w:val="24"/>
        </w:rPr>
        <w:t>,</w:t>
      </w:r>
      <w:r w:rsidRPr="00685112">
        <w:rPr>
          <w:sz w:val="24"/>
          <w:szCs w:val="24"/>
        </w:rPr>
        <w:t xml:space="preserve"> but not limited to</w:t>
      </w:r>
      <w:r w:rsidR="0077370D">
        <w:rPr>
          <w:sz w:val="24"/>
          <w:szCs w:val="24"/>
        </w:rPr>
        <w:t>,</w:t>
      </w:r>
      <w:r w:rsidRPr="00685112">
        <w:rPr>
          <w:sz w:val="24"/>
          <w:szCs w:val="24"/>
        </w:rPr>
        <w:t xml:space="preserve"> unprotected sex, sex with multiple partners, anonymous sex, </w:t>
      </w:r>
      <w:r w:rsidR="00DC2B03" w:rsidRPr="00685112">
        <w:rPr>
          <w:sz w:val="24"/>
          <w:szCs w:val="24"/>
        </w:rPr>
        <w:t>same</w:t>
      </w:r>
      <w:r w:rsidR="00DC2B03">
        <w:rPr>
          <w:sz w:val="24"/>
          <w:szCs w:val="24"/>
        </w:rPr>
        <w:t>-</w:t>
      </w:r>
      <w:r w:rsidRPr="00685112">
        <w:rPr>
          <w:sz w:val="24"/>
          <w:szCs w:val="24"/>
        </w:rPr>
        <w:t xml:space="preserve">sex activity, drug use, </w:t>
      </w:r>
      <w:r>
        <w:rPr>
          <w:sz w:val="24"/>
          <w:szCs w:val="24"/>
        </w:rPr>
        <w:t xml:space="preserve">prior history of an </w:t>
      </w:r>
      <w:r w:rsidR="00E50A50">
        <w:rPr>
          <w:sz w:val="24"/>
          <w:szCs w:val="24"/>
        </w:rPr>
        <w:t>STI</w:t>
      </w:r>
      <w:r w:rsidR="000C7BDF">
        <w:rPr>
          <w:sz w:val="24"/>
          <w:szCs w:val="24"/>
        </w:rPr>
        <w:t xml:space="preserve">, </w:t>
      </w:r>
      <w:r w:rsidRPr="00685112">
        <w:rPr>
          <w:sz w:val="24"/>
          <w:szCs w:val="24"/>
        </w:rPr>
        <w:t xml:space="preserve">and knowledge of partners engaging in </w:t>
      </w:r>
      <w:r w:rsidR="00DC2B03" w:rsidRPr="00685112">
        <w:rPr>
          <w:sz w:val="24"/>
          <w:szCs w:val="24"/>
        </w:rPr>
        <w:t>high</w:t>
      </w:r>
      <w:r w:rsidR="00DC2B03">
        <w:rPr>
          <w:sz w:val="24"/>
          <w:szCs w:val="24"/>
        </w:rPr>
        <w:t>-</w:t>
      </w:r>
      <w:r w:rsidRPr="00685112">
        <w:rPr>
          <w:sz w:val="24"/>
          <w:szCs w:val="24"/>
        </w:rPr>
        <w:t>risk sexual activity [2].</w:t>
      </w:r>
    </w:p>
    <w:p w14:paraId="644AC32C" w14:textId="77777777" w:rsidR="00D12E99" w:rsidRPr="00685112" w:rsidRDefault="00D12E99" w:rsidP="00D972C5">
      <w:pPr>
        <w:pStyle w:val="Heading2"/>
        <w:rPr>
          <w:sz w:val="24"/>
          <w:szCs w:val="24"/>
        </w:rPr>
      </w:pPr>
      <w:r w:rsidRPr="00685112">
        <w:rPr>
          <w:sz w:val="24"/>
          <w:szCs w:val="24"/>
        </w:rPr>
        <w:t>Treatment and Referral of Patients and Partners</w:t>
      </w:r>
    </w:p>
    <w:p w14:paraId="232E49F3" w14:textId="3A5B1DB6" w:rsidR="00D12E99" w:rsidRPr="00685112" w:rsidRDefault="00D12E99" w:rsidP="00375A69">
      <w:pPr>
        <w:numPr>
          <w:ilvl w:val="0"/>
          <w:numId w:val="2"/>
        </w:numPr>
        <w:spacing w:after="120"/>
        <w:ind w:left="274" w:hanging="274"/>
        <w:rPr>
          <w:sz w:val="24"/>
          <w:szCs w:val="24"/>
        </w:rPr>
      </w:pPr>
      <w:r w:rsidRPr="00685112">
        <w:rPr>
          <w:sz w:val="24"/>
          <w:szCs w:val="24"/>
        </w:rPr>
        <w:t xml:space="preserve">Patients with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s should be treated according to CDC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 treatment guidelines [2]. </w:t>
      </w:r>
    </w:p>
    <w:p w14:paraId="41D7B662" w14:textId="548FA4D6" w:rsidR="00C1218E" w:rsidRPr="00685112" w:rsidRDefault="00D12E99" w:rsidP="00375A69">
      <w:pPr>
        <w:numPr>
          <w:ilvl w:val="0"/>
          <w:numId w:val="2"/>
        </w:numPr>
        <w:spacing w:before="60" w:after="120"/>
        <w:ind w:left="270" w:hanging="270"/>
        <w:rPr>
          <w:sz w:val="24"/>
          <w:szCs w:val="24"/>
        </w:rPr>
      </w:pPr>
      <w:r w:rsidRPr="00685112">
        <w:rPr>
          <w:sz w:val="24"/>
          <w:szCs w:val="24"/>
        </w:rPr>
        <w:t xml:space="preserve">Persons with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 symptoms should receive presumptive antibiotic therapy on the day of exam [2] prior to receiving laboratory results</w:t>
      </w:r>
      <w:r w:rsidR="0077370D">
        <w:rPr>
          <w:sz w:val="24"/>
          <w:szCs w:val="24"/>
        </w:rPr>
        <w:t xml:space="preserve">. </w:t>
      </w:r>
    </w:p>
    <w:p w14:paraId="0B7CB5E8" w14:textId="77777777" w:rsidR="00C1218E" w:rsidRPr="00C1218E" w:rsidRDefault="00D12E99">
      <w:pPr>
        <w:numPr>
          <w:ilvl w:val="0"/>
          <w:numId w:val="2"/>
        </w:numPr>
        <w:spacing w:before="60" w:after="120"/>
        <w:ind w:left="270" w:hanging="270"/>
        <w:rPr>
          <w:sz w:val="24"/>
          <w:szCs w:val="24"/>
        </w:rPr>
      </w:pPr>
      <w:r w:rsidRPr="00C1218E">
        <w:rPr>
          <w:sz w:val="24"/>
          <w:szCs w:val="24"/>
        </w:rPr>
        <w:t>Known contacts of cases of syphilis, chlamydia, and gonorrhea should be offered presumptive treatment at the time of visit</w:t>
      </w:r>
      <w:r w:rsidR="0077370D" w:rsidRPr="00C1218E">
        <w:rPr>
          <w:sz w:val="24"/>
          <w:szCs w:val="24"/>
        </w:rPr>
        <w:t>,</w:t>
      </w:r>
      <w:r w:rsidRPr="00C1218E">
        <w:rPr>
          <w:sz w:val="24"/>
          <w:szCs w:val="24"/>
        </w:rPr>
        <w:t xml:space="preserve"> prior to receiving laboratory results [2]</w:t>
      </w:r>
      <w:r w:rsidR="0077370D" w:rsidRPr="00C1218E">
        <w:rPr>
          <w:sz w:val="24"/>
          <w:szCs w:val="24"/>
        </w:rPr>
        <w:t xml:space="preserve">. </w:t>
      </w:r>
    </w:p>
    <w:p w14:paraId="4A5B32C3" w14:textId="25B377CA" w:rsidR="00D12E99" w:rsidRPr="00685112" w:rsidRDefault="00D12E99" w:rsidP="00375A69">
      <w:pPr>
        <w:numPr>
          <w:ilvl w:val="0"/>
          <w:numId w:val="2"/>
        </w:numPr>
        <w:spacing w:before="60" w:after="120"/>
        <w:ind w:left="270" w:hanging="270"/>
        <w:rPr>
          <w:sz w:val="24"/>
          <w:szCs w:val="24"/>
        </w:rPr>
      </w:pPr>
      <w:r w:rsidRPr="00685112">
        <w:rPr>
          <w:sz w:val="24"/>
          <w:szCs w:val="24"/>
        </w:rPr>
        <w:t xml:space="preserve">Depending on regional practices, untreated sexual contacts of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 cases should be referred and reported to public health nursing, designated tribal health programs, or the local health department for partner services.</w:t>
      </w:r>
      <w:r w:rsidRPr="00685112">
        <w:rPr>
          <w:rFonts w:ascii="Garamond" w:hAnsi="Garamond"/>
          <w:sz w:val="24"/>
          <w:szCs w:val="24"/>
        </w:rPr>
        <w:t xml:space="preserve"> </w:t>
      </w:r>
    </w:p>
    <w:p w14:paraId="27B7467F" w14:textId="77777777" w:rsidR="002B78E2" w:rsidRDefault="00D12E99" w:rsidP="00A64950">
      <w:pPr>
        <w:numPr>
          <w:ilvl w:val="0"/>
          <w:numId w:val="2"/>
        </w:numPr>
        <w:spacing w:before="60" w:after="0"/>
        <w:ind w:left="274" w:right="-274" w:hanging="274"/>
        <w:rPr>
          <w:sz w:val="24"/>
          <w:szCs w:val="24"/>
        </w:rPr>
      </w:pPr>
      <w:r w:rsidRPr="00685112">
        <w:rPr>
          <w:sz w:val="24"/>
          <w:szCs w:val="24"/>
        </w:rPr>
        <w:t xml:space="preserve">Providers should seek to elicit partners and refer them for testing and presumptive treatment </w:t>
      </w:r>
      <w:hyperlink r:id="rId10" w:history="1"/>
      <w:r w:rsidRPr="00685112">
        <w:rPr>
          <w:sz w:val="24"/>
          <w:szCs w:val="24"/>
        </w:rPr>
        <w:t>[2]</w:t>
      </w:r>
      <w:r w:rsidR="00C1218E">
        <w:rPr>
          <w:sz w:val="24"/>
          <w:szCs w:val="24"/>
        </w:rPr>
        <w:t>.</w:t>
      </w:r>
    </w:p>
    <w:p w14:paraId="4A1513B6" w14:textId="772708CA" w:rsidR="002179E7" w:rsidRPr="00C1218E" w:rsidRDefault="002179E7" w:rsidP="001365D8">
      <w:pPr>
        <w:numPr>
          <w:ilvl w:val="0"/>
          <w:numId w:val="2"/>
        </w:numPr>
        <w:spacing w:before="60" w:after="0"/>
        <w:ind w:left="360" w:right="-274"/>
        <w:rPr>
          <w:sz w:val="24"/>
          <w:szCs w:val="24"/>
        </w:rPr>
      </w:pPr>
      <w:r>
        <w:rPr>
          <w:sz w:val="24"/>
          <w:szCs w:val="24"/>
        </w:rPr>
        <w:lastRenderedPageBreak/>
        <w:t>People who are HIV-negative, but at substantial risk for HIV infection</w:t>
      </w:r>
      <w:r w:rsidR="001365D8">
        <w:rPr>
          <w:sz w:val="24"/>
          <w:szCs w:val="24"/>
        </w:rPr>
        <w:t>,</w:t>
      </w:r>
      <w:r>
        <w:rPr>
          <w:sz w:val="24"/>
          <w:szCs w:val="24"/>
        </w:rPr>
        <w:t xml:space="preserve"> should be offered access to p</w:t>
      </w:r>
      <w:r w:rsidRPr="002179E7">
        <w:rPr>
          <w:sz w:val="24"/>
          <w:szCs w:val="24"/>
        </w:rPr>
        <w:t>re-ex</w:t>
      </w:r>
      <w:r>
        <w:rPr>
          <w:sz w:val="24"/>
          <w:szCs w:val="24"/>
        </w:rPr>
        <w:t xml:space="preserve">posure prophylaxis, or PrEP, </w:t>
      </w:r>
      <w:r w:rsidRPr="002179E7">
        <w:rPr>
          <w:sz w:val="24"/>
          <w:szCs w:val="24"/>
        </w:rPr>
        <w:t>a way for people to prevent HIV infection by taking a pill every day</w:t>
      </w:r>
      <w:r w:rsidR="001365D8">
        <w:rPr>
          <w:sz w:val="24"/>
          <w:szCs w:val="24"/>
        </w:rPr>
        <w:t xml:space="preserve"> </w:t>
      </w:r>
      <w:r>
        <w:rPr>
          <w:sz w:val="24"/>
          <w:szCs w:val="24"/>
        </w:rPr>
        <w:t>[1</w:t>
      </w:r>
      <w:r w:rsidR="001365D8">
        <w:rPr>
          <w:sz w:val="24"/>
          <w:szCs w:val="24"/>
        </w:rPr>
        <w:t>0</w:t>
      </w:r>
      <w:r>
        <w:rPr>
          <w:sz w:val="24"/>
          <w:szCs w:val="24"/>
        </w:rPr>
        <w:t>]</w:t>
      </w:r>
      <w:r w:rsidR="001365D8">
        <w:rPr>
          <w:sz w:val="24"/>
          <w:szCs w:val="24"/>
        </w:rPr>
        <w:t>.</w:t>
      </w:r>
    </w:p>
    <w:p w14:paraId="3D183FF1" w14:textId="77777777" w:rsidR="00D12E99" w:rsidRPr="002B78E2" w:rsidRDefault="00D12E99" w:rsidP="002B78E2">
      <w:pPr>
        <w:numPr>
          <w:ilvl w:val="0"/>
          <w:numId w:val="2"/>
        </w:numPr>
        <w:spacing w:before="60" w:after="0"/>
        <w:ind w:left="274" w:right="-274" w:hanging="274"/>
        <w:rPr>
          <w:sz w:val="24"/>
          <w:szCs w:val="24"/>
        </w:rPr>
      </w:pPr>
      <w:r w:rsidRPr="002B78E2">
        <w:rPr>
          <w:sz w:val="24"/>
          <w:szCs w:val="24"/>
        </w:rPr>
        <w:t>Expedited Partner Therapy (EPT) or Patient Delivered Partner Therapy (PDPT) should be available to heterosexual men and women diagnosed with chlamydia and/or gonorrhea</w:t>
      </w:r>
      <w:r w:rsidR="0077370D" w:rsidRPr="002B78E2">
        <w:rPr>
          <w:sz w:val="24"/>
          <w:szCs w:val="24"/>
        </w:rPr>
        <w:t>,</w:t>
      </w:r>
      <w:r w:rsidRPr="002B78E2">
        <w:rPr>
          <w:sz w:val="24"/>
          <w:szCs w:val="24"/>
        </w:rPr>
        <w:t xml:space="preserve"> according to state and national guidelines [</w:t>
      </w:r>
      <w:r w:rsidR="00C1218E">
        <w:rPr>
          <w:sz w:val="24"/>
          <w:szCs w:val="24"/>
        </w:rPr>
        <w:t>3</w:t>
      </w:r>
      <w:r w:rsidRPr="002B78E2">
        <w:rPr>
          <w:sz w:val="24"/>
          <w:szCs w:val="24"/>
        </w:rPr>
        <w:t>]. EPT is the clinical practice of treating the sex partners of patients diagnosed with chlamydia or gonorrhea by providing prescriptions or medications to the patient to take to his/her partner without the health care provider first examining the partner.</w:t>
      </w:r>
    </w:p>
    <w:p w14:paraId="6659D72A" w14:textId="77777777" w:rsidR="00D12E99" w:rsidRPr="00685112" w:rsidRDefault="00D12E99" w:rsidP="00375A69">
      <w:pPr>
        <w:numPr>
          <w:ilvl w:val="1"/>
          <w:numId w:val="2"/>
        </w:numPr>
        <w:spacing w:before="40" w:after="40"/>
        <w:ind w:left="634"/>
        <w:rPr>
          <w:sz w:val="24"/>
          <w:szCs w:val="24"/>
        </w:rPr>
      </w:pPr>
      <w:r w:rsidRPr="00685112">
        <w:rPr>
          <w:sz w:val="24"/>
          <w:szCs w:val="24"/>
        </w:rPr>
        <w:t xml:space="preserve">For chlamydia, provide medication or prescription (with accompanying instructions) of azithromycin 1gm PO x 1 dose for patient to give to partner(s). </w:t>
      </w:r>
    </w:p>
    <w:p w14:paraId="1FA06590" w14:textId="77777777" w:rsidR="00D12E99" w:rsidRPr="00685112" w:rsidRDefault="00D12E99" w:rsidP="00375A69">
      <w:pPr>
        <w:numPr>
          <w:ilvl w:val="1"/>
          <w:numId w:val="2"/>
        </w:numPr>
        <w:spacing w:before="40" w:after="120"/>
        <w:ind w:left="634" w:right="-274"/>
        <w:rPr>
          <w:sz w:val="24"/>
          <w:szCs w:val="24"/>
        </w:rPr>
      </w:pPr>
      <w:r w:rsidRPr="00685112">
        <w:rPr>
          <w:sz w:val="24"/>
          <w:szCs w:val="24"/>
        </w:rPr>
        <w:t xml:space="preserve">For gonorrhea, provide medication or prescription of cefixime 400mg PO x 1 dose </w:t>
      </w:r>
      <w:r w:rsidR="00705566">
        <w:rPr>
          <w:sz w:val="24"/>
          <w:szCs w:val="24"/>
        </w:rPr>
        <w:t>PLUS</w:t>
      </w:r>
      <w:r w:rsidRPr="00685112">
        <w:rPr>
          <w:sz w:val="24"/>
          <w:szCs w:val="24"/>
        </w:rPr>
        <w:t xml:space="preserve"> azithromycin 1 gm PO x 1,with accompanying instructions, for patient to give to partner(s).</w:t>
      </w:r>
    </w:p>
    <w:p w14:paraId="67651017" w14:textId="77777777" w:rsidR="00D12E99" w:rsidRPr="00685112" w:rsidRDefault="00D12E99" w:rsidP="00375A69">
      <w:pPr>
        <w:pStyle w:val="Heading2"/>
        <w:rPr>
          <w:sz w:val="24"/>
          <w:szCs w:val="24"/>
        </w:rPr>
      </w:pPr>
      <w:r w:rsidRPr="00685112">
        <w:rPr>
          <w:sz w:val="24"/>
          <w:szCs w:val="24"/>
        </w:rPr>
        <w:t>Reporting</w:t>
      </w:r>
    </w:p>
    <w:p w14:paraId="2B2726D6" w14:textId="77777777" w:rsidR="00D12E99" w:rsidRPr="00685112" w:rsidRDefault="00D12E99" w:rsidP="00375A69">
      <w:pPr>
        <w:numPr>
          <w:ilvl w:val="0"/>
          <w:numId w:val="2"/>
        </w:numPr>
        <w:spacing w:after="120"/>
        <w:ind w:left="274" w:hanging="274"/>
        <w:rPr>
          <w:sz w:val="24"/>
          <w:szCs w:val="24"/>
        </w:rPr>
      </w:pPr>
      <w:r w:rsidRPr="00685112">
        <w:rPr>
          <w:sz w:val="24"/>
          <w:szCs w:val="24"/>
        </w:rPr>
        <w:t xml:space="preserve">Health providers in </w:t>
      </w:r>
      <w:r w:rsidR="00FF558B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2629E">
        <w:rPr>
          <w:sz w:val="24"/>
          <w:szCs w:val="24"/>
        </w:rPr>
        <w:instrText xml:space="preserve"> FORMTEXT </w:instrText>
      </w:r>
      <w:r w:rsidR="00FF558B">
        <w:rPr>
          <w:sz w:val="24"/>
          <w:szCs w:val="24"/>
        </w:rPr>
      </w:r>
      <w:r w:rsidR="00FF558B">
        <w:rPr>
          <w:sz w:val="24"/>
          <w:szCs w:val="24"/>
        </w:rPr>
        <w:fldChar w:fldCharType="separate"/>
      </w:r>
      <w:r w:rsidR="0012629E">
        <w:rPr>
          <w:sz w:val="24"/>
          <w:szCs w:val="24"/>
        </w:rPr>
        <w:t>&lt;&lt;insert region&gt;&gt;</w:t>
      </w:r>
      <w:r w:rsidR="00FF558B">
        <w:rPr>
          <w:sz w:val="24"/>
          <w:szCs w:val="24"/>
        </w:rPr>
        <w:fldChar w:fldCharType="end"/>
      </w:r>
      <w:bookmarkEnd w:id="4"/>
      <w:r w:rsidR="0077370D">
        <w:rPr>
          <w:sz w:val="24"/>
          <w:szCs w:val="24"/>
        </w:rPr>
        <w:t xml:space="preserve"> </w:t>
      </w:r>
      <w:r w:rsidRPr="00685112">
        <w:rPr>
          <w:sz w:val="24"/>
          <w:szCs w:val="24"/>
        </w:rPr>
        <w:t xml:space="preserve">are required to report cases of chlamydia, gonorrhea, syphilis, genital herpes and chancroid to the local health department. </w:t>
      </w:r>
    </w:p>
    <w:p w14:paraId="1809A979" w14:textId="7107563F" w:rsidR="00D12E99" w:rsidRPr="00685112" w:rsidRDefault="00E50A50" w:rsidP="00375A69">
      <w:pPr>
        <w:numPr>
          <w:ilvl w:val="0"/>
          <w:numId w:val="2"/>
        </w:numPr>
        <w:spacing w:before="60" w:after="120"/>
        <w:ind w:left="270" w:hanging="270"/>
        <w:rPr>
          <w:sz w:val="24"/>
          <w:szCs w:val="24"/>
        </w:rPr>
      </w:pPr>
      <w:r>
        <w:rPr>
          <w:sz w:val="24"/>
          <w:szCs w:val="24"/>
        </w:rPr>
        <w:t>STI</w:t>
      </w:r>
      <w:r w:rsidR="00D12E99" w:rsidRPr="00685112">
        <w:rPr>
          <w:sz w:val="24"/>
          <w:szCs w:val="24"/>
        </w:rPr>
        <w:t xml:space="preserve"> reporting forms are available at:  </w:t>
      </w:r>
      <w:r w:rsidR="00FF558B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2629E">
        <w:rPr>
          <w:sz w:val="24"/>
          <w:szCs w:val="24"/>
        </w:rPr>
        <w:instrText xml:space="preserve"> FORMTEXT </w:instrText>
      </w:r>
      <w:r w:rsidR="00FF558B">
        <w:rPr>
          <w:sz w:val="24"/>
          <w:szCs w:val="24"/>
        </w:rPr>
      </w:r>
      <w:r w:rsidR="00FF558B">
        <w:rPr>
          <w:sz w:val="24"/>
          <w:szCs w:val="24"/>
        </w:rPr>
        <w:fldChar w:fldCharType="separate"/>
      </w:r>
      <w:r w:rsidR="0012629E" w:rsidRPr="0012629E">
        <w:rPr>
          <w:noProof/>
          <w:sz w:val="24"/>
          <w:szCs w:val="24"/>
        </w:rPr>
        <w:t>&lt;&lt;insert website and phone number, as appropriate&gt;&gt;</w:t>
      </w:r>
      <w:r w:rsidR="00FF558B">
        <w:rPr>
          <w:sz w:val="24"/>
          <w:szCs w:val="24"/>
        </w:rPr>
        <w:fldChar w:fldCharType="end"/>
      </w:r>
      <w:bookmarkEnd w:id="5"/>
      <w:r w:rsidR="0077370D">
        <w:rPr>
          <w:sz w:val="24"/>
          <w:szCs w:val="24"/>
        </w:rPr>
        <w:t xml:space="preserve">. </w:t>
      </w:r>
    </w:p>
    <w:p w14:paraId="45B7569B" w14:textId="77777777" w:rsidR="00D12E99" w:rsidRPr="00685112" w:rsidRDefault="00D12E99" w:rsidP="00375A69">
      <w:pPr>
        <w:pStyle w:val="Heading2"/>
        <w:rPr>
          <w:sz w:val="24"/>
          <w:szCs w:val="24"/>
        </w:rPr>
      </w:pPr>
      <w:r w:rsidRPr="00685112">
        <w:rPr>
          <w:sz w:val="24"/>
          <w:szCs w:val="24"/>
        </w:rPr>
        <w:t>Vaccinations</w:t>
      </w:r>
    </w:p>
    <w:p w14:paraId="2582555F" w14:textId="4184B53C" w:rsidR="00D12E99" w:rsidRPr="00685112" w:rsidRDefault="00D12E99" w:rsidP="00375A69">
      <w:pPr>
        <w:numPr>
          <w:ilvl w:val="0"/>
          <w:numId w:val="2"/>
        </w:numPr>
        <w:spacing w:after="120"/>
        <w:ind w:left="274" w:hanging="274"/>
        <w:rPr>
          <w:sz w:val="24"/>
          <w:szCs w:val="24"/>
        </w:rPr>
      </w:pPr>
      <w:r w:rsidRPr="00685112">
        <w:rPr>
          <w:sz w:val="24"/>
          <w:szCs w:val="24"/>
        </w:rPr>
        <w:t xml:space="preserve">Hepatitis B vaccination should be offered to all unvaccinated, uninfected persons being evaluated for an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 [2</w:t>
      </w:r>
      <w:r w:rsidRPr="00685112">
        <w:rPr>
          <w:rFonts w:ascii="Garamond" w:hAnsi="Garamond"/>
          <w:sz w:val="24"/>
          <w:szCs w:val="24"/>
        </w:rPr>
        <w:t>].</w:t>
      </w:r>
    </w:p>
    <w:p w14:paraId="1411E7EB" w14:textId="15B655C2" w:rsidR="00D12E99" w:rsidRPr="00685112" w:rsidRDefault="00D12E99" w:rsidP="00375A69">
      <w:pPr>
        <w:numPr>
          <w:ilvl w:val="0"/>
          <w:numId w:val="2"/>
        </w:numPr>
        <w:spacing w:before="60" w:after="120"/>
        <w:ind w:left="274" w:hanging="274"/>
        <w:rPr>
          <w:sz w:val="24"/>
          <w:szCs w:val="24"/>
        </w:rPr>
      </w:pPr>
      <w:r w:rsidRPr="00685112">
        <w:rPr>
          <w:sz w:val="24"/>
          <w:szCs w:val="24"/>
        </w:rPr>
        <w:t xml:space="preserve">HPV vaccination is recommended for all women </w:t>
      </w:r>
      <w:r w:rsidR="00E50A50">
        <w:rPr>
          <w:sz w:val="24"/>
          <w:szCs w:val="24"/>
        </w:rPr>
        <w:t xml:space="preserve">(including immunocompromised) </w:t>
      </w:r>
      <w:r w:rsidRPr="00685112">
        <w:rPr>
          <w:sz w:val="24"/>
          <w:szCs w:val="24"/>
        </w:rPr>
        <w:t>between the ages of 9-26 regardless of prior sexual activity, HPV infection, or abnormal PAP results [</w:t>
      </w:r>
      <w:r w:rsidR="003F7B11">
        <w:rPr>
          <w:sz w:val="24"/>
          <w:szCs w:val="24"/>
        </w:rPr>
        <w:t>4</w:t>
      </w:r>
      <w:r w:rsidRPr="00685112">
        <w:rPr>
          <w:sz w:val="24"/>
          <w:szCs w:val="24"/>
        </w:rPr>
        <w:t xml:space="preserve">]. </w:t>
      </w:r>
    </w:p>
    <w:p w14:paraId="0DFAE403" w14:textId="77777777" w:rsidR="00D12E99" w:rsidRDefault="00D12E99" w:rsidP="00375A69">
      <w:pPr>
        <w:numPr>
          <w:ilvl w:val="0"/>
          <w:numId w:val="2"/>
        </w:numPr>
        <w:spacing w:before="60" w:after="120"/>
        <w:ind w:left="274" w:hanging="274"/>
        <w:rPr>
          <w:sz w:val="24"/>
          <w:szCs w:val="24"/>
        </w:rPr>
      </w:pPr>
      <w:r w:rsidRPr="00685112">
        <w:rPr>
          <w:sz w:val="24"/>
          <w:szCs w:val="24"/>
        </w:rPr>
        <w:t xml:space="preserve">HPV vaccination is </w:t>
      </w:r>
      <w:r w:rsidR="00443E5E">
        <w:rPr>
          <w:sz w:val="24"/>
          <w:szCs w:val="24"/>
        </w:rPr>
        <w:t xml:space="preserve">recommended </w:t>
      </w:r>
      <w:r w:rsidRPr="00685112">
        <w:rPr>
          <w:sz w:val="24"/>
          <w:szCs w:val="24"/>
        </w:rPr>
        <w:t>for males between the ages of 9-2</w:t>
      </w:r>
      <w:r w:rsidR="00C1218E">
        <w:rPr>
          <w:sz w:val="24"/>
          <w:szCs w:val="24"/>
        </w:rPr>
        <w:t>1</w:t>
      </w:r>
      <w:r w:rsidRPr="00685112">
        <w:rPr>
          <w:sz w:val="24"/>
          <w:szCs w:val="24"/>
        </w:rPr>
        <w:t xml:space="preserve"> regardless of prior sexual activity or HPV infection</w:t>
      </w:r>
      <w:r w:rsidR="00A005C1">
        <w:rPr>
          <w:rFonts w:cs="Calibri"/>
          <w:sz w:val="24"/>
          <w:szCs w:val="24"/>
        </w:rPr>
        <w:t xml:space="preserve"> </w:t>
      </w:r>
      <w:r w:rsidRPr="00685112">
        <w:rPr>
          <w:sz w:val="24"/>
          <w:szCs w:val="24"/>
        </w:rPr>
        <w:t>[</w:t>
      </w:r>
      <w:r w:rsidR="003F7B11">
        <w:rPr>
          <w:sz w:val="24"/>
          <w:szCs w:val="24"/>
        </w:rPr>
        <w:t>4</w:t>
      </w:r>
      <w:r w:rsidRPr="00685112">
        <w:rPr>
          <w:sz w:val="24"/>
          <w:szCs w:val="24"/>
        </w:rPr>
        <w:t>].</w:t>
      </w:r>
    </w:p>
    <w:p w14:paraId="6D09FF0F" w14:textId="77777777" w:rsidR="00B23AFC" w:rsidRDefault="00B23AFC" w:rsidP="00375A69">
      <w:pPr>
        <w:numPr>
          <w:ilvl w:val="0"/>
          <w:numId w:val="2"/>
        </w:numPr>
        <w:spacing w:before="60" w:after="120"/>
        <w:ind w:left="274" w:hanging="274"/>
        <w:rPr>
          <w:sz w:val="24"/>
          <w:szCs w:val="24"/>
        </w:rPr>
      </w:pPr>
      <w:r>
        <w:rPr>
          <w:sz w:val="24"/>
          <w:szCs w:val="24"/>
        </w:rPr>
        <w:t xml:space="preserve">HPV vaccination is recommended for men who have sex with men and immunocompromised men (including those with HIV-infection) through age 26 [4].  </w:t>
      </w:r>
    </w:p>
    <w:p w14:paraId="0F04B0EC" w14:textId="4203FF1D" w:rsidR="00E50A50" w:rsidRPr="00685112" w:rsidRDefault="00E50A50" w:rsidP="00375A69">
      <w:pPr>
        <w:numPr>
          <w:ilvl w:val="0"/>
          <w:numId w:val="2"/>
        </w:numPr>
        <w:spacing w:before="60" w:after="120"/>
        <w:ind w:left="274" w:hanging="274"/>
        <w:rPr>
          <w:sz w:val="24"/>
          <w:szCs w:val="24"/>
        </w:rPr>
      </w:pPr>
      <w:r>
        <w:rPr>
          <w:sz w:val="24"/>
          <w:szCs w:val="24"/>
        </w:rPr>
        <w:t>HPV4 or HPV9 vaccines are acceptable for men or women.</w:t>
      </w:r>
    </w:p>
    <w:p w14:paraId="338AD697" w14:textId="77777777" w:rsidR="00D12E99" w:rsidRPr="00685112" w:rsidRDefault="00D12E99" w:rsidP="00D972C5">
      <w:pPr>
        <w:pStyle w:val="Heading2"/>
        <w:rPr>
          <w:sz w:val="24"/>
          <w:szCs w:val="24"/>
        </w:rPr>
      </w:pPr>
      <w:r w:rsidRPr="00685112">
        <w:rPr>
          <w:sz w:val="24"/>
          <w:szCs w:val="24"/>
        </w:rPr>
        <w:t>Questions and Resources</w:t>
      </w:r>
    </w:p>
    <w:p w14:paraId="7057274F" w14:textId="1B298C80" w:rsidR="003F7B11" w:rsidRDefault="003F7B11" w:rsidP="00375A69">
      <w:pPr>
        <w:numPr>
          <w:ilvl w:val="0"/>
          <w:numId w:val="2"/>
        </w:numPr>
        <w:spacing w:after="120"/>
        <w:ind w:left="274" w:hanging="274"/>
        <w:rPr>
          <w:sz w:val="24"/>
          <w:szCs w:val="24"/>
        </w:rPr>
      </w:pPr>
      <w:r>
        <w:rPr>
          <w:sz w:val="24"/>
          <w:szCs w:val="24"/>
        </w:rPr>
        <w:t xml:space="preserve">This sample policy and protocol can be adapted for local use.   These documents and accompanying information sheets can be found on the IHS </w:t>
      </w:r>
      <w:r w:rsidR="00E50A50">
        <w:rPr>
          <w:sz w:val="24"/>
          <w:szCs w:val="24"/>
        </w:rPr>
        <w:t>STI</w:t>
      </w:r>
      <w:r>
        <w:rPr>
          <w:sz w:val="24"/>
          <w:szCs w:val="24"/>
        </w:rPr>
        <w:t xml:space="preserve"> Program website [5]. </w:t>
      </w:r>
    </w:p>
    <w:p w14:paraId="5A8BF457" w14:textId="273BB992" w:rsidR="00D12E99" w:rsidRPr="00685112" w:rsidRDefault="00D12E99" w:rsidP="00375A69">
      <w:pPr>
        <w:numPr>
          <w:ilvl w:val="0"/>
          <w:numId w:val="2"/>
        </w:numPr>
        <w:spacing w:after="120"/>
        <w:ind w:left="274" w:hanging="274"/>
        <w:rPr>
          <w:sz w:val="24"/>
          <w:szCs w:val="24"/>
        </w:rPr>
      </w:pPr>
      <w:r w:rsidRPr="00685112">
        <w:rPr>
          <w:sz w:val="24"/>
          <w:szCs w:val="24"/>
        </w:rPr>
        <w:lastRenderedPageBreak/>
        <w:t xml:space="preserve">Questions regarding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 diagnosis, treatment, patient and partner follow-up, and reporting should be directed to the appropriate local tribal health department or to the respective state </w:t>
      </w:r>
      <w:r w:rsidR="00E50A50">
        <w:rPr>
          <w:sz w:val="24"/>
          <w:szCs w:val="24"/>
        </w:rPr>
        <w:t>STI</w:t>
      </w:r>
      <w:r w:rsidRPr="00685112">
        <w:rPr>
          <w:sz w:val="24"/>
          <w:szCs w:val="24"/>
        </w:rPr>
        <w:t xml:space="preserve"> program.</w:t>
      </w:r>
    </w:p>
    <w:p w14:paraId="46298426" w14:textId="2F893587" w:rsidR="001C08C3" w:rsidRDefault="00E50A50" w:rsidP="001365D8">
      <w:pPr>
        <w:numPr>
          <w:ilvl w:val="0"/>
          <w:numId w:val="2"/>
        </w:numPr>
        <w:spacing w:before="60" w:after="120"/>
        <w:ind w:left="360"/>
        <w:rPr>
          <w:sz w:val="24"/>
          <w:szCs w:val="24"/>
        </w:rPr>
      </w:pPr>
      <w:r>
        <w:rPr>
          <w:sz w:val="24"/>
          <w:szCs w:val="24"/>
        </w:rPr>
        <w:t>STI</w:t>
      </w:r>
      <w:r w:rsidR="00D12E99" w:rsidRPr="00685112">
        <w:rPr>
          <w:sz w:val="24"/>
          <w:szCs w:val="24"/>
        </w:rPr>
        <w:t xml:space="preserve"> educational resources for providers and tribal health departments are available from the IHS National </w:t>
      </w:r>
      <w:r>
        <w:rPr>
          <w:sz w:val="24"/>
          <w:szCs w:val="24"/>
        </w:rPr>
        <w:t>STI</w:t>
      </w:r>
      <w:r w:rsidR="00D12E99" w:rsidRPr="00685112">
        <w:rPr>
          <w:sz w:val="24"/>
          <w:szCs w:val="24"/>
        </w:rPr>
        <w:t xml:space="preserve"> Program [</w:t>
      </w:r>
      <w:r w:rsidR="003F7B11">
        <w:rPr>
          <w:sz w:val="24"/>
          <w:szCs w:val="24"/>
        </w:rPr>
        <w:t>5</w:t>
      </w:r>
      <w:r w:rsidR="00D12E99" w:rsidRPr="00685112">
        <w:rPr>
          <w:sz w:val="24"/>
          <w:szCs w:val="24"/>
        </w:rPr>
        <w:t>], the CDC [</w:t>
      </w:r>
      <w:r w:rsidR="003F7B11">
        <w:rPr>
          <w:sz w:val="24"/>
          <w:szCs w:val="24"/>
        </w:rPr>
        <w:t>6</w:t>
      </w:r>
      <w:r w:rsidR="00D12E99" w:rsidRPr="00685112">
        <w:rPr>
          <w:sz w:val="24"/>
          <w:szCs w:val="24"/>
        </w:rPr>
        <w:t>], Project Red Talon [</w:t>
      </w:r>
      <w:r w:rsidR="003F7B11">
        <w:rPr>
          <w:sz w:val="24"/>
          <w:szCs w:val="24"/>
        </w:rPr>
        <w:t>7</w:t>
      </w:r>
      <w:r w:rsidR="00D12E99" w:rsidRPr="00685112">
        <w:rPr>
          <w:sz w:val="24"/>
          <w:szCs w:val="24"/>
        </w:rPr>
        <w:t>], and I Know Mine [</w:t>
      </w:r>
      <w:r w:rsidR="003F7B11">
        <w:rPr>
          <w:sz w:val="24"/>
          <w:szCs w:val="24"/>
        </w:rPr>
        <w:t>8</w:t>
      </w:r>
      <w:r w:rsidR="00D12E99" w:rsidRPr="00685112">
        <w:rPr>
          <w:sz w:val="24"/>
          <w:szCs w:val="24"/>
        </w:rPr>
        <w:t>].</w:t>
      </w:r>
      <w:r w:rsidR="00D972C5">
        <w:rPr>
          <w:sz w:val="24"/>
          <w:szCs w:val="24"/>
        </w:rPr>
        <w:t xml:space="preserve"> HIV educational resources are available from the IHS National HIV Program [</w:t>
      </w:r>
      <w:r w:rsidR="003F7B11">
        <w:rPr>
          <w:sz w:val="24"/>
          <w:szCs w:val="24"/>
        </w:rPr>
        <w:t>9</w:t>
      </w:r>
      <w:r w:rsidR="00D972C5">
        <w:rPr>
          <w:sz w:val="24"/>
          <w:szCs w:val="24"/>
        </w:rPr>
        <w:t>].</w:t>
      </w:r>
      <w:r w:rsidR="0023537E">
        <w:rPr>
          <w:sz w:val="24"/>
          <w:szCs w:val="24"/>
        </w:rPr>
        <w:t xml:space="preserve"> HCV educational resources are available from the IHS </w:t>
      </w:r>
      <w:r w:rsidR="0023537E" w:rsidRPr="0023537E">
        <w:rPr>
          <w:sz w:val="24"/>
          <w:szCs w:val="24"/>
        </w:rPr>
        <w:t>Division of Epidemiology and Disease Prevention</w:t>
      </w:r>
      <w:r w:rsidR="0023537E">
        <w:rPr>
          <w:sz w:val="24"/>
          <w:szCs w:val="24"/>
        </w:rPr>
        <w:t xml:space="preserve"> and the IHS Office of Clinical and Preventive Services. </w:t>
      </w:r>
      <w:r w:rsidR="002179E7">
        <w:rPr>
          <w:sz w:val="24"/>
          <w:szCs w:val="24"/>
        </w:rPr>
        <w:t>[1</w:t>
      </w:r>
      <w:r w:rsidR="001365D8">
        <w:rPr>
          <w:sz w:val="24"/>
          <w:szCs w:val="24"/>
        </w:rPr>
        <w:t>1</w:t>
      </w:r>
      <w:r w:rsidR="002179E7">
        <w:rPr>
          <w:sz w:val="24"/>
          <w:szCs w:val="24"/>
        </w:rPr>
        <w:t>]</w:t>
      </w:r>
    </w:p>
    <w:p w14:paraId="41BF77C7" w14:textId="6009A110" w:rsidR="00D12E99" w:rsidRPr="001C08C3" w:rsidRDefault="00D12E99" w:rsidP="00375A69">
      <w:pPr>
        <w:numPr>
          <w:ilvl w:val="0"/>
          <w:numId w:val="2"/>
        </w:numPr>
        <w:spacing w:before="60" w:after="120"/>
        <w:ind w:left="274" w:hanging="274"/>
        <w:rPr>
          <w:sz w:val="24"/>
          <w:szCs w:val="24"/>
        </w:rPr>
      </w:pPr>
      <w:r w:rsidRPr="001C08C3">
        <w:rPr>
          <w:sz w:val="24"/>
          <w:szCs w:val="24"/>
        </w:rPr>
        <w:t xml:space="preserve">More or less frequent screening should be considered based on local </w:t>
      </w:r>
      <w:r w:rsidR="00E50A50">
        <w:rPr>
          <w:sz w:val="24"/>
          <w:szCs w:val="24"/>
        </w:rPr>
        <w:t>STI</w:t>
      </w:r>
      <w:r w:rsidRPr="001C08C3">
        <w:rPr>
          <w:sz w:val="24"/>
          <w:szCs w:val="24"/>
        </w:rPr>
        <w:t xml:space="preserve"> morbidity patterns</w:t>
      </w:r>
      <w:r w:rsidR="0077370D">
        <w:rPr>
          <w:sz w:val="24"/>
          <w:szCs w:val="24"/>
        </w:rPr>
        <w:t xml:space="preserve">. </w:t>
      </w:r>
      <w:r w:rsidRPr="001C08C3">
        <w:rPr>
          <w:sz w:val="24"/>
          <w:szCs w:val="24"/>
        </w:rPr>
        <w:t>Gonorrhea screening should be considered in regions and populations with high or increasing morbidity.</w:t>
      </w:r>
    </w:p>
    <w:p w14:paraId="6962DC31" w14:textId="77777777" w:rsidR="00D12E99" w:rsidRPr="00685112" w:rsidRDefault="00D12E99" w:rsidP="00D12E99">
      <w:pPr>
        <w:pStyle w:val="Heading2"/>
        <w:spacing w:before="360"/>
        <w:rPr>
          <w:sz w:val="24"/>
          <w:szCs w:val="24"/>
        </w:rPr>
      </w:pPr>
      <w:r w:rsidRPr="00685112">
        <w:rPr>
          <w:sz w:val="24"/>
          <w:szCs w:val="24"/>
        </w:rPr>
        <w:t xml:space="preserve">Contact Information for Local Health Department:  </w:t>
      </w:r>
    </w:p>
    <w:p w14:paraId="10A627E8" w14:textId="77777777" w:rsidR="00D12E99" w:rsidRPr="00685112" w:rsidRDefault="00FF558B" w:rsidP="00D12E99">
      <w:pPr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2629E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2629E" w:rsidRPr="0012629E">
        <w:rPr>
          <w:noProof/>
          <w:sz w:val="24"/>
          <w:szCs w:val="24"/>
        </w:rPr>
        <w:t>&lt;&lt;insert address for reporting&gt;&gt;</w:t>
      </w:r>
      <w:r>
        <w:rPr>
          <w:sz w:val="24"/>
          <w:szCs w:val="24"/>
        </w:rPr>
        <w:fldChar w:fldCharType="end"/>
      </w:r>
      <w:bookmarkEnd w:id="6"/>
    </w:p>
    <w:p w14:paraId="5155BC88" w14:textId="77777777" w:rsidR="00D12E99" w:rsidRPr="0012629E" w:rsidRDefault="00FF558B" w:rsidP="00D12E99">
      <w:pPr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2629E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2629E" w:rsidRPr="0012629E">
        <w:rPr>
          <w:noProof/>
          <w:sz w:val="24"/>
          <w:szCs w:val="24"/>
        </w:rPr>
        <w:t xml:space="preserve">&lt;&lt;insert </w:t>
      </w:r>
      <w:r w:rsidR="0012629E">
        <w:rPr>
          <w:noProof/>
          <w:sz w:val="24"/>
          <w:szCs w:val="24"/>
        </w:rPr>
        <w:t>phone number</w:t>
      </w:r>
      <w:r w:rsidR="0012629E" w:rsidRPr="0012629E">
        <w:rPr>
          <w:noProof/>
          <w:sz w:val="24"/>
          <w:szCs w:val="24"/>
        </w:rPr>
        <w:t>&gt;&gt;</w:t>
      </w:r>
      <w:r>
        <w:rPr>
          <w:sz w:val="24"/>
          <w:szCs w:val="24"/>
        </w:rPr>
        <w:fldChar w:fldCharType="end"/>
      </w:r>
      <w:bookmarkEnd w:id="7"/>
    </w:p>
    <w:p w14:paraId="612E91A9" w14:textId="77777777" w:rsidR="00D12E99" w:rsidRPr="00685112" w:rsidRDefault="00FF558B" w:rsidP="00D12E99">
      <w:pPr>
        <w:ind w:left="36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2629E"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2629E" w:rsidRPr="0012629E">
        <w:rPr>
          <w:noProof/>
          <w:sz w:val="24"/>
          <w:szCs w:val="24"/>
        </w:rPr>
        <w:t xml:space="preserve">&lt;&lt;insert </w:t>
      </w:r>
      <w:r w:rsidR="0012629E">
        <w:rPr>
          <w:noProof/>
          <w:sz w:val="24"/>
          <w:szCs w:val="24"/>
        </w:rPr>
        <w:t>fax number</w:t>
      </w:r>
      <w:r w:rsidR="0012629E" w:rsidRPr="0012629E">
        <w:rPr>
          <w:noProof/>
          <w:sz w:val="24"/>
          <w:szCs w:val="24"/>
        </w:rPr>
        <w:t>&gt;&gt;</w:t>
      </w:r>
      <w:r>
        <w:rPr>
          <w:sz w:val="24"/>
          <w:szCs w:val="24"/>
        </w:rPr>
        <w:fldChar w:fldCharType="end"/>
      </w:r>
      <w:bookmarkEnd w:id="8"/>
    </w:p>
    <w:p w14:paraId="5296DB95" w14:textId="77777777" w:rsidR="00D12E99" w:rsidRPr="00685112" w:rsidRDefault="00D12E99" w:rsidP="00D12E99">
      <w:pPr>
        <w:pStyle w:val="Heading2"/>
        <w:spacing w:before="360"/>
        <w:rPr>
          <w:sz w:val="24"/>
          <w:szCs w:val="24"/>
        </w:rPr>
      </w:pPr>
      <w:r w:rsidRPr="00685112">
        <w:rPr>
          <w:sz w:val="24"/>
          <w:szCs w:val="24"/>
        </w:rPr>
        <w:t>Online References:</w:t>
      </w:r>
    </w:p>
    <w:p w14:paraId="0072BF25" w14:textId="2B4BC848" w:rsidR="00C1218E" w:rsidRDefault="00FE07AF" w:rsidP="00D12E99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sz w:val="24"/>
          <w:szCs w:val="24"/>
        </w:rPr>
      </w:pPr>
      <w:hyperlink r:id="rId11" w:history="1">
        <w:r w:rsidR="00C1218E" w:rsidRPr="005C3ED4">
          <w:rPr>
            <w:rStyle w:val="Hyperlink"/>
            <w:sz w:val="24"/>
            <w:szCs w:val="24"/>
          </w:rPr>
          <w:t>http://www.cdc.gov/std/stats13/default.htm</w:t>
        </w:r>
      </w:hyperlink>
    </w:p>
    <w:p w14:paraId="4D1BA404" w14:textId="1CE9F568" w:rsidR="00D12E99" w:rsidRPr="00685112" w:rsidRDefault="00FE07AF" w:rsidP="00D12E99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sz w:val="24"/>
          <w:szCs w:val="24"/>
        </w:rPr>
      </w:pPr>
      <w:hyperlink r:id="rId12" w:history="1">
        <w:r w:rsidR="00FF2ADA" w:rsidRPr="005C3ED4">
          <w:rPr>
            <w:rStyle w:val="Hyperlink"/>
            <w:sz w:val="24"/>
            <w:szCs w:val="24"/>
          </w:rPr>
          <w:t>http://www.cdc.gov/std/treatment/</w:t>
        </w:r>
      </w:hyperlink>
      <w:r w:rsidR="00FF2ADA">
        <w:rPr>
          <w:sz w:val="24"/>
          <w:szCs w:val="24"/>
        </w:rPr>
        <w:t xml:space="preserve"> </w:t>
      </w:r>
    </w:p>
    <w:p w14:paraId="3870026C" w14:textId="77777777" w:rsidR="00D12E99" w:rsidRPr="00685112" w:rsidRDefault="00FE07AF" w:rsidP="00D12E99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sz w:val="24"/>
          <w:szCs w:val="24"/>
        </w:rPr>
      </w:pPr>
      <w:hyperlink r:id="rId13" w:history="1">
        <w:r w:rsidR="00FF2ADA" w:rsidRPr="005C3ED4">
          <w:rPr>
            <w:rStyle w:val="Hyperlink"/>
            <w:sz w:val="24"/>
            <w:szCs w:val="24"/>
          </w:rPr>
          <w:t>http://www.cdc.gov/std/ept</w:t>
        </w:r>
      </w:hyperlink>
      <w:r w:rsidR="00FF2ADA">
        <w:rPr>
          <w:sz w:val="24"/>
          <w:szCs w:val="24"/>
        </w:rPr>
        <w:t xml:space="preserve"> </w:t>
      </w:r>
      <w:r w:rsidR="00D12E99" w:rsidRPr="00685112">
        <w:rPr>
          <w:sz w:val="24"/>
          <w:szCs w:val="24"/>
        </w:rPr>
        <w:t xml:space="preserve"> </w:t>
      </w:r>
      <w:r w:rsidR="00FF2ADA">
        <w:rPr>
          <w:sz w:val="24"/>
          <w:szCs w:val="24"/>
        </w:rPr>
        <w:t xml:space="preserve"> </w:t>
      </w:r>
    </w:p>
    <w:p w14:paraId="3C19CDCA" w14:textId="77777777" w:rsidR="00D12E99" w:rsidRPr="00685112" w:rsidRDefault="00FE07AF" w:rsidP="00D12E99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sz w:val="24"/>
          <w:szCs w:val="24"/>
        </w:rPr>
      </w:pPr>
      <w:hyperlink r:id="rId14" w:history="1">
        <w:r w:rsidR="00FF2ADA" w:rsidRPr="005C3ED4">
          <w:rPr>
            <w:rStyle w:val="Hyperlink"/>
            <w:sz w:val="24"/>
            <w:szCs w:val="24"/>
          </w:rPr>
          <w:t>http://www.cdc.gov/std/hpv/default.htm</w:t>
        </w:r>
      </w:hyperlink>
      <w:r w:rsidR="00FF2ADA">
        <w:rPr>
          <w:sz w:val="24"/>
          <w:szCs w:val="24"/>
        </w:rPr>
        <w:t xml:space="preserve"> </w:t>
      </w:r>
    </w:p>
    <w:p w14:paraId="44F88F15" w14:textId="77777777" w:rsidR="003F7B11" w:rsidRDefault="00FE07AF" w:rsidP="00D12E99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sz w:val="24"/>
          <w:szCs w:val="24"/>
        </w:rPr>
      </w:pPr>
      <w:hyperlink r:id="rId15" w:history="1">
        <w:r w:rsidR="003F7B11" w:rsidRPr="005C3ED4">
          <w:rPr>
            <w:rStyle w:val="Hyperlink"/>
            <w:sz w:val="24"/>
            <w:szCs w:val="24"/>
          </w:rPr>
          <w:t>http://www.ihs.gov/epi/index.cfm?module=epi_std_resources</w:t>
        </w:r>
      </w:hyperlink>
    </w:p>
    <w:p w14:paraId="0E95E429" w14:textId="77777777" w:rsidR="00D12E99" w:rsidRPr="00685112" w:rsidRDefault="00FE07AF" w:rsidP="00D12E99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sz w:val="24"/>
          <w:szCs w:val="24"/>
        </w:rPr>
      </w:pPr>
      <w:hyperlink r:id="rId16" w:history="1">
        <w:r w:rsidR="00FF2ADA" w:rsidRPr="005C3ED4">
          <w:rPr>
            <w:rStyle w:val="Hyperlink"/>
            <w:sz w:val="24"/>
            <w:szCs w:val="24"/>
          </w:rPr>
          <w:t>http://www.cdc.gov/std</w:t>
        </w:r>
      </w:hyperlink>
      <w:r w:rsidR="00FF2ADA">
        <w:rPr>
          <w:sz w:val="24"/>
          <w:szCs w:val="24"/>
        </w:rPr>
        <w:t xml:space="preserve"> </w:t>
      </w:r>
    </w:p>
    <w:p w14:paraId="275EAFF8" w14:textId="77777777" w:rsidR="00D12E99" w:rsidRPr="00685112" w:rsidRDefault="00FE07AF" w:rsidP="00D12E99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sz w:val="24"/>
          <w:szCs w:val="24"/>
        </w:rPr>
      </w:pPr>
      <w:hyperlink r:id="rId17" w:history="1">
        <w:r w:rsidR="00FF2ADA" w:rsidRPr="005C3ED4">
          <w:rPr>
            <w:rStyle w:val="Hyperlink"/>
            <w:sz w:val="24"/>
            <w:szCs w:val="24"/>
          </w:rPr>
          <w:t>http://www.npaihb.org/epicenter/project/project_red_talon/</w:t>
        </w:r>
      </w:hyperlink>
      <w:r w:rsidR="00FF2ADA">
        <w:rPr>
          <w:sz w:val="24"/>
          <w:szCs w:val="24"/>
        </w:rPr>
        <w:t xml:space="preserve"> </w:t>
      </w:r>
    </w:p>
    <w:p w14:paraId="2372C45D" w14:textId="3DD75788" w:rsidR="001365D8" w:rsidRDefault="00FE07AF" w:rsidP="00D12E99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sz w:val="24"/>
          <w:szCs w:val="24"/>
        </w:rPr>
      </w:pPr>
      <w:hyperlink r:id="rId18" w:history="1">
        <w:r w:rsidR="00FF2ADA" w:rsidRPr="005C3ED4">
          <w:rPr>
            <w:rStyle w:val="Hyperlink"/>
            <w:sz w:val="24"/>
            <w:szCs w:val="24"/>
          </w:rPr>
          <w:t>http://www.iknowmine.org</w:t>
        </w:r>
      </w:hyperlink>
      <w:r w:rsidR="00FF2ADA">
        <w:rPr>
          <w:sz w:val="24"/>
          <w:szCs w:val="24"/>
        </w:rPr>
        <w:t xml:space="preserve"> </w:t>
      </w:r>
    </w:p>
    <w:p w14:paraId="68395D12" w14:textId="77777777" w:rsidR="001365D8" w:rsidRDefault="00172CA0" w:rsidP="001365D8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sz w:val="24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1F9C425B" wp14:editId="48AA6524">
            <wp:simplePos x="0" y="0"/>
            <wp:positionH relativeFrom="page">
              <wp:posOffset>5532120</wp:posOffset>
            </wp:positionH>
            <wp:positionV relativeFrom="page">
              <wp:posOffset>9155430</wp:posOffset>
            </wp:positionV>
            <wp:extent cx="1895475" cy="600075"/>
            <wp:effectExtent l="0" t="0" r="9525" b="9525"/>
            <wp:wrapNone/>
            <wp:docPr id="2" name="Picture 1" descr="Description: C:\Users\erin.SEATTLE\AppData\Local\Microsoft\Windows\Temporary Internet Files\Content.Outlook\NC1FHH8N\logo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erin.SEATTLE\AppData\Local\Microsoft\Windows\Temporary Internet Files\Content.Outlook\NC1FHH8N\logos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9" w:history="1">
        <w:r w:rsidR="00FF2ADA" w:rsidRPr="001365D8">
          <w:rPr>
            <w:rStyle w:val="Hyperlink"/>
            <w:sz w:val="24"/>
            <w:szCs w:val="24"/>
          </w:rPr>
          <w:t>http://www.ihs.gov/medicalprograms/hivaids/</w:t>
        </w:r>
      </w:hyperlink>
    </w:p>
    <w:p w14:paraId="410E6363" w14:textId="0945CDEF" w:rsidR="001365D8" w:rsidRDefault="00FE07AF" w:rsidP="001365D8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sz w:val="24"/>
        </w:rPr>
      </w:pPr>
      <w:hyperlink r:id="rId20" w:history="1">
        <w:r w:rsidR="001365D8" w:rsidRPr="001365D8">
          <w:rPr>
            <w:rStyle w:val="Hyperlink"/>
            <w:sz w:val="24"/>
          </w:rPr>
          <w:t>http://www.cdc.gov/hiv/risk/prep/index.html</w:t>
        </w:r>
      </w:hyperlink>
    </w:p>
    <w:p w14:paraId="2D959E8D" w14:textId="42FEBDBA" w:rsidR="002179E7" w:rsidRPr="001365D8" w:rsidRDefault="001365D8" w:rsidP="001365D8">
      <w:pPr>
        <w:spacing w:line="240" w:lineRule="auto"/>
        <w:rPr>
          <w:sz w:val="24"/>
        </w:rPr>
      </w:pPr>
      <w:r>
        <w:rPr>
          <w:sz w:val="24"/>
        </w:rPr>
        <w:t xml:space="preserve">11. </w:t>
      </w:r>
      <w:hyperlink r:id="rId21" w:history="1">
        <w:r w:rsidR="002179E7" w:rsidRPr="00EF1F4A">
          <w:rPr>
            <w:rStyle w:val="Hyperlink"/>
            <w:sz w:val="24"/>
          </w:rPr>
          <w:t>https://www.ihs.gov/epi/index.cfm?module=epi_hepatitis_mai</w:t>
        </w:r>
      </w:hyperlink>
      <w:r>
        <w:rPr>
          <w:sz w:val="24"/>
        </w:rPr>
        <w:t>n</w:t>
      </w:r>
    </w:p>
    <w:sectPr w:rsidR="002179E7" w:rsidRPr="001365D8" w:rsidSect="00375A69">
      <w:headerReference w:type="default" r:id="rId22"/>
      <w:footerReference w:type="default" r:id="rId23"/>
      <w:pgSz w:w="12240" w:h="15840"/>
      <w:pgMar w:top="1035" w:right="1440" w:bottom="1170" w:left="1440" w:header="63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A1D66" w14:textId="77777777" w:rsidR="00FE07AF" w:rsidRDefault="00FE07AF" w:rsidP="008812AA">
      <w:pPr>
        <w:spacing w:before="0" w:after="0" w:line="240" w:lineRule="auto"/>
      </w:pPr>
      <w:r>
        <w:separator/>
      </w:r>
    </w:p>
  </w:endnote>
  <w:endnote w:type="continuationSeparator" w:id="0">
    <w:p w14:paraId="75C61322" w14:textId="77777777" w:rsidR="00FE07AF" w:rsidRDefault="00FE07AF" w:rsidP="008812AA">
      <w:pPr>
        <w:spacing w:before="0" w:after="0" w:line="240" w:lineRule="auto"/>
      </w:pPr>
      <w:r>
        <w:continuationSeparator/>
      </w:r>
    </w:p>
  </w:endnote>
  <w:endnote w:type="continuationNotice" w:id="1">
    <w:p w14:paraId="015521D3" w14:textId="77777777" w:rsidR="00FE07AF" w:rsidRDefault="00FE07A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99E4F" w14:textId="77777777" w:rsidR="001A649B" w:rsidRPr="00A5249A" w:rsidRDefault="001A649B" w:rsidP="00D0175C">
    <w:pPr>
      <w:pStyle w:val="Footer"/>
    </w:pPr>
    <w:r>
      <w:t>August 2015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3CE8">
      <w:rPr>
        <w:noProof/>
      </w:rPr>
      <w:t>2</w:t>
    </w:r>
    <w:r>
      <w:rPr>
        <w:noProof/>
      </w:rPr>
      <w:fldChar w:fldCharType="end"/>
    </w:r>
    <w:r>
      <w:tab/>
    </w:r>
  </w:p>
  <w:p w14:paraId="74EB2020" w14:textId="77777777" w:rsidR="001A649B" w:rsidRDefault="001A649B" w:rsidP="000C7BD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DD661" w14:textId="77777777" w:rsidR="00FE07AF" w:rsidRDefault="00FE07AF" w:rsidP="008812AA">
      <w:pPr>
        <w:spacing w:before="0" w:after="0" w:line="240" w:lineRule="auto"/>
      </w:pPr>
      <w:r>
        <w:separator/>
      </w:r>
    </w:p>
  </w:footnote>
  <w:footnote w:type="continuationSeparator" w:id="0">
    <w:p w14:paraId="1528EE2F" w14:textId="77777777" w:rsidR="00FE07AF" w:rsidRDefault="00FE07AF" w:rsidP="008812AA">
      <w:pPr>
        <w:spacing w:before="0" w:after="0" w:line="240" w:lineRule="auto"/>
      </w:pPr>
      <w:r>
        <w:continuationSeparator/>
      </w:r>
    </w:p>
  </w:footnote>
  <w:footnote w:type="continuationNotice" w:id="1">
    <w:p w14:paraId="4685F4F4" w14:textId="77777777" w:rsidR="00FE07AF" w:rsidRDefault="00FE07A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65B5" w14:textId="77777777" w:rsidR="001A649B" w:rsidRDefault="001A649B">
    <w:pPr>
      <w:pStyle w:val="Header"/>
    </w:pPr>
    <w:r>
      <w:t>Sample Document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353"/>
    <w:multiLevelType w:val="hybridMultilevel"/>
    <w:tmpl w:val="31EA2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FC7A69"/>
    <w:multiLevelType w:val="hybridMultilevel"/>
    <w:tmpl w:val="AA620BEC"/>
    <w:lvl w:ilvl="0" w:tplc="FA0A04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921E274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245A91"/>
    <w:multiLevelType w:val="hybridMultilevel"/>
    <w:tmpl w:val="31EA2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99"/>
    <w:rsid w:val="000C57F9"/>
    <w:rsid w:val="000C7BDF"/>
    <w:rsid w:val="0012629E"/>
    <w:rsid w:val="001365D8"/>
    <w:rsid w:val="001438CB"/>
    <w:rsid w:val="00157436"/>
    <w:rsid w:val="00162FAB"/>
    <w:rsid w:val="00172CA0"/>
    <w:rsid w:val="001733E5"/>
    <w:rsid w:val="0017609E"/>
    <w:rsid w:val="001907F3"/>
    <w:rsid w:val="001946B1"/>
    <w:rsid w:val="001A649B"/>
    <w:rsid w:val="001C08C3"/>
    <w:rsid w:val="001C6046"/>
    <w:rsid w:val="002179E7"/>
    <w:rsid w:val="00217EAA"/>
    <w:rsid w:val="0023537E"/>
    <w:rsid w:val="00293CE8"/>
    <w:rsid w:val="002B78E2"/>
    <w:rsid w:val="00375A69"/>
    <w:rsid w:val="003A7DA4"/>
    <w:rsid w:val="003D2164"/>
    <w:rsid w:val="003F6904"/>
    <w:rsid w:val="003F7B11"/>
    <w:rsid w:val="00443E5E"/>
    <w:rsid w:val="00473245"/>
    <w:rsid w:val="0047471F"/>
    <w:rsid w:val="005321C6"/>
    <w:rsid w:val="005827D5"/>
    <w:rsid w:val="005B1AB2"/>
    <w:rsid w:val="005F4F88"/>
    <w:rsid w:val="00611FEF"/>
    <w:rsid w:val="00651FAB"/>
    <w:rsid w:val="00657F67"/>
    <w:rsid w:val="006911B8"/>
    <w:rsid w:val="00705566"/>
    <w:rsid w:val="007340DE"/>
    <w:rsid w:val="0075070E"/>
    <w:rsid w:val="00756927"/>
    <w:rsid w:val="0077370D"/>
    <w:rsid w:val="00787DB4"/>
    <w:rsid w:val="007A59A0"/>
    <w:rsid w:val="00800ECC"/>
    <w:rsid w:val="00803BB1"/>
    <w:rsid w:val="0082656F"/>
    <w:rsid w:val="00862D6E"/>
    <w:rsid w:val="0086484A"/>
    <w:rsid w:val="008812AA"/>
    <w:rsid w:val="00920979"/>
    <w:rsid w:val="00935DAF"/>
    <w:rsid w:val="009430B7"/>
    <w:rsid w:val="0096704A"/>
    <w:rsid w:val="00A005C1"/>
    <w:rsid w:val="00A23227"/>
    <w:rsid w:val="00A639F4"/>
    <w:rsid w:val="00A64950"/>
    <w:rsid w:val="00A7547E"/>
    <w:rsid w:val="00AF443D"/>
    <w:rsid w:val="00B15866"/>
    <w:rsid w:val="00B23AFC"/>
    <w:rsid w:val="00B45DA0"/>
    <w:rsid w:val="00B763EF"/>
    <w:rsid w:val="00BC0D54"/>
    <w:rsid w:val="00C1218E"/>
    <w:rsid w:val="00C423A1"/>
    <w:rsid w:val="00C46F54"/>
    <w:rsid w:val="00C731B4"/>
    <w:rsid w:val="00D0175C"/>
    <w:rsid w:val="00D060E8"/>
    <w:rsid w:val="00D12E99"/>
    <w:rsid w:val="00D406AF"/>
    <w:rsid w:val="00D972C5"/>
    <w:rsid w:val="00DC2B03"/>
    <w:rsid w:val="00DF70CC"/>
    <w:rsid w:val="00E0729B"/>
    <w:rsid w:val="00E46994"/>
    <w:rsid w:val="00E50A50"/>
    <w:rsid w:val="00E53EF9"/>
    <w:rsid w:val="00E730D9"/>
    <w:rsid w:val="00EB01C7"/>
    <w:rsid w:val="00ED438F"/>
    <w:rsid w:val="00F60120"/>
    <w:rsid w:val="00F66F66"/>
    <w:rsid w:val="00FC075C"/>
    <w:rsid w:val="00FE07AF"/>
    <w:rsid w:val="00FF2ADA"/>
    <w:rsid w:val="00FF558B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E9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99"/>
    <w:pPr>
      <w:spacing w:before="200" w:after="200" w:line="276" w:lineRule="auto"/>
    </w:pPr>
    <w:rPr>
      <w:rFonts w:eastAsia="Times New Roman"/>
      <w:lang w:bidi="en-US"/>
    </w:rPr>
  </w:style>
  <w:style w:type="paragraph" w:styleId="Heading1">
    <w:name w:val="heading 1"/>
    <w:basedOn w:val="Normal"/>
    <w:next w:val="Normal"/>
    <w:link w:val="Heading1Char"/>
    <w:qFormat/>
    <w:rsid w:val="00D12E9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2E9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12E99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Heading2Char">
    <w:name w:val="Heading 2 Char"/>
    <w:link w:val="Heading2"/>
    <w:uiPriority w:val="9"/>
    <w:rsid w:val="00D12E99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</w:rPr>
  </w:style>
  <w:style w:type="paragraph" w:styleId="Header">
    <w:name w:val="header"/>
    <w:basedOn w:val="Normal"/>
    <w:link w:val="HeaderChar"/>
    <w:unhideWhenUsed/>
    <w:rsid w:val="00D12E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12E99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2E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2E99"/>
    <w:rPr>
      <w:rFonts w:ascii="Calibri" w:eastAsia="Times New Roman" w:hAnsi="Calibri" w:cs="Times New Roman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qFormat/>
    <w:rsid w:val="00D12E99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rsid w:val="00D12E99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apple-style-span">
    <w:name w:val="apple-style-span"/>
    <w:basedOn w:val="DefaultParagraphFont"/>
    <w:rsid w:val="00D12E99"/>
  </w:style>
  <w:style w:type="character" w:styleId="Hyperlink">
    <w:name w:val="Hyperlink"/>
    <w:uiPriority w:val="99"/>
    <w:unhideWhenUsed/>
    <w:rsid w:val="00D972C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972C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AB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1AB2"/>
    <w:rPr>
      <w:rFonts w:ascii="Tahoma" w:eastAsia="Times New Roman" w:hAnsi="Tahoma" w:cs="Tahoma"/>
      <w:sz w:val="16"/>
      <w:szCs w:val="16"/>
      <w:lang w:bidi="en-US"/>
    </w:rPr>
  </w:style>
  <w:style w:type="paragraph" w:styleId="Revision">
    <w:name w:val="Revision"/>
    <w:hidden/>
    <w:uiPriority w:val="99"/>
    <w:semiHidden/>
    <w:rsid w:val="00375A69"/>
    <w:rPr>
      <w:rFonts w:eastAsia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7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29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0729B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9B"/>
    <w:rPr>
      <w:rFonts w:eastAsia="Times New Roman"/>
      <w:b/>
      <w:bCs/>
      <w:lang w:bidi="en-US"/>
    </w:rPr>
  </w:style>
  <w:style w:type="paragraph" w:styleId="ListParagraph">
    <w:name w:val="List Paragraph"/>
    <w:basedOn w:val="Normal"/>
    <w:uiPriority w:val="34"/>
    <w:qFormat/>
    <w:rsid w:val="00136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99"/>
    <w:pPr>
      <w:spacing w:before="200" w:after="200" w:line="276" w:lineRule="auto"/>
    </w:pPr>
    <w:rPr>
      <w:rFonts w:eastAsia="Times New Roman"/>
      <w:lang w:bidi="en-US"/>
    </w:rPr>
  </w:style>
  <w:style w:type="paragraph" w:styleId="Heading1">
    <w:name w:val="heading 1"/>
    <w:basedOn w:val="Normal"/>
    <w:next w:val="Normal"/>
    <w:link w:val="Heading1Char"/>
    <w:qFormat/>
    <w:rsid w:val="00D12E9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2E9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12E99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Heading2Char">
    <w:name w:val="Heading 2 Char"/>
    <w:link w:val="Heading2"/>
    <w:uiPriority w:val="9"/>
    <w:rsid w:val="00D12E99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</w:rPr>
  </w:style>
  <w:style w:type="paragraph" w:styleId="Header">
    <w:name w:val="header"/>
    <w:basedOn w:val="Normal"/>
    <w:link w:val="HeaderChar"/>
    <w:unhideWhenUsed/>
    <w:rsid w:val="00D12E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12E99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2E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2E99"/>
    <w:rPr>
      <w:rFonts w:ascii="Calibri" w:eastAsia="Times New Roman" w:hAnsi="Calibri" w:cs="Times New Roman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qFormat/>
    <w:rsid w:val="00D12E99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rsid w:val="00D12E99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apple-style-span">
    <w:name w:val="apple-style-span"/>
    <w:basedOn w:val="DefaultParagraphFont"/>
    <w:rsid w:val="00D12E99"/>
  </w:style>
  <w:style w:type="character" w:styleId="Hyperlink">
    <w:name w:val="Hyperlink"/>
    <w:uiPriority w:val="99"/>
    <w:unhideWhenUsed/>
    <w:rsid w:val="00D972C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972C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AB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1AB2"/>
    <w:rPr>
      <w:rFonts w:ascii="Tahoma" w:eastAsia="Times New Roman" w:hAnsi="Tahoma" w:cs="Tahoma"/>
      <w:sz w:val="16"/>
      <w:szCs w:val="16"/>
      <w:lang w:bidi="en-US"/>
    </w:rPr>
  </w:style>
  <w:style w:type="paragraph" w:styleId="Revision">
    <w:name w:val="Revision"/>
    <w:hidden/>
    <w:uiPriority w:val="99"/>
    <w:semiHidden/>
    <w:rsid w:val="00375A69"/>
    <w:rPr>
      <w:rFonts w:eastAsia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7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29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0729B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29B"/>
    <w:rPr>
      <w:rFonts w:eastAsia="Times New Roman"/>
      <w:b/>
      <w:bCs/>
      <w:lang w:bidi="en-US"/>
    </w:rPr>
  </w:style>
  <w:style w:type="paragraph" w:styleId="ListParagraph">
    <w:name w:val="List Paragraph"/>
    <w:basedOn w:val="Normal"/>
    <w:uiPriority w:val="34"/>
    <w:qFormat/>
    <w:rsid w:val="0013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dc.gov/std/ept" TargetMode="External"/><Relationship Id="rId18" Type="http://schemas.openxmlformats.org/officeDocument/2006/relationships/hyperlink" Target="http://www.iknowmine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hs.gov/epi/index.cfm?module=epi_hepatitis_ma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dc.gov/std/treatment/" TargetMode="External"/><Relationship Id="rId17" Type="http://schemas.openxmlformats.org/officeDocument/2006/relationships/hyperlink" Target="http://www.npaihb.org/epicenter/project/project_red_talo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dc.gov/std" TargetMode="External"/><Relationship Id="rId20" Type="http://schemas.openxmlformats.org/officeDocument/2006/relationships/hyperlink" Target="http://www.cdc.gov/hiv/risk/prep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dc.gov/std/stats13/default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hs.gov/epi/index.cfm?module=epi_std_resource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dc.gov/std" TargetMode="External"/><Relationship Id="rId19" Type="http://schemas.openxmlformats.org/officeDocument/2006/relationships/hyperlink" Target="http://www.ihs.gov/medicalprograms/hivaid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dc.gov/std/hpv/default.ht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0EED-11C6-463C-91A6-5815BDE1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Maricopa County</Company>
  <LinksUpToDate>false</LinksUpToDate>
  <CharactersWithSpaces>11209</CharactersWithSpaces>
  <SharedDoc>false</SharedDoc>
  <HLinks>
    <vt:vector size="6" baseType="variant">
      <vt:variant>
        <vt:i4>2949166</vt:i4>
      </vt:variant>
      <vt:variant>
        <vt:i4>9</vt:i4>
      </vt:variant>
      <vt:variant>
        <vt:i4>0</vt:i4>
      </vt:variant>
      <vt:variant>
        <vt:i4>5</vt:i4>
      </vt:variant>
      <vt:variant>
        <vt:lpwstr>http://www.cdc.gov/std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taylor</dc:creator>
  <cp:lastModifiedBy>Apostolou, Andria (IHS/HQ) [C]</cp:lastModifiedBy>
  <cp:revision>4</cp:revision>
  <dcterms:created xsi:type="dcterms:W3CDTF">2016-01-13T16:14:00Z</dcterms:created>
  <dcterms:modified xsi:type="dcterms:W3CDTF">2016-02-29T16:32:00Z</dcterms:modified>
</cp:coreProperties>
</file>