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0C" w:rsidRPr="00A06F0C" w:rsidRDefault="00A06F0C" w:rsidP="00A06F0C">
      <w:pPr>
        <w:pStyle w:val="NoSpacing"/>
        <w:jc w:val="center"/>
        <w:rPr>
          <w:b/>
          <w:sz w:val="24"/>
          <w:szCs w:val="24"/>
        </w:rPr>
      </w:pPr>
      <w:r>
        <w:rPr>
          <w:b/>
          <w:sz w:val="24"/>
          <w:szCs w:val="24"/>
        </w:rPr>
        <w:t>Influenza Vaccine Coverage</w:t>
      </w:r>
    </w:p>
    <w:p w:rsidR="00A06F0C" w:rsidRDefault="00FD38F0" w:rsidP="00A06F0C">
      <w:pPr>
        <w:pStyle w:val="NoSpacing"/>
        <w:jc w:val="center"/>
        <w:rPr>
          <w:b/>
          <w:sz w:val="24"/>
          <w:szCs w:val="24"/>
        </w:rPr>
      </w:pPr>
      <w:r w:rsidRPr="00A06F0C">
        <w:rPr>
          <w:b/>
          <w:sz w:val="24"/>
          <w:szCs w:val="24"/>
        </w:rPr>
        <w:t>201</w:t>
      </w:r>
      <w:r w:rsidR="00A06F0C">
        <w:rPr>
          <w:b/>
          <w:sz w:val="24"/>
          <w:szCs w:val="24"/>
        </w:rPr>
        <w:t>3</w:t>
      </w:r>
      <w:r w:rsidRPr="00A06F0C">
        <w:rPr>
          <w:b/>
          <w:sz w:val="24"/>
          <w:szCs w:val="24"/>
        </w:rPr>
        <w:t xml:space="preserve"> – 201</w:t>
      </w:r>
      <w:r w:rsidR="00A06F0C">
        <w:rPr>
          <w:b/>
          <w:sz w:val="24"/>
          <w:szCs w:val="24"/>
        </w:rPr>
        <w:t xml:space="preserve">4 Influenza </w:t>
      </w:r>
      <w:proofErr w:type="gramStart"/>
      <w:r w:rsidR="00A06F0C">
        <w:rPr>
          <w:b/>
          <w:sz w:val="24"/>
          <w:szCs w:val="24"/>
        </w:rPr>
        <w:t>S</w:t>
      </w:r>
      <w:r w:rsidRPr="00A06F0C">
        <w:rPr>
          <w:b/>
          <w:sz w:val="24"/>
          <w:szCs w:val="24"/>
        </w:rPr>
        <w:t>eason</w:t>
      </w:r>
      <w:proofErr w:type="gramEnd"/>
    </w:p>
    <w:p w:rsidR="00A06F0C" w:rsidRPr="00A06F0C" w:rsidRDefault="00A06F0C" w:rsidP="00A06F0C">
      <w:pPr>
        <w:pStyle w:val="NoSpacing"/>
        <w:jc w:val="center"/>
        <w:rPr>
          <w:b/>
          <w:sz w:val="24"/>
          <w:szCs w:val="24"/>
        </w:rPr>
      </w:pPr>
    </w:p>
    <w:p w:rsidR="006854AA" w:rsidRPr="006854AA" w:rsidRDefault="006854AA" w:rsidP="00372B17">
      <w:pPr>
        <w:rPr>
          <w:b/>
        </w:rPr>
      </w:pPr>
      <w:r>
        <w:rPr>
          <w:b/>
        </w:rPr>
        <w:t>Summary</w:t>
      </w:r>
    </w:p>
    <w:p w:rsidR="006854AA" w:rsidRPr="00A06F0C" w:rsidRDefault="006854AA" w:rsidP="00372B17">
      <w:r w:rsidRPr="00A06F0C">
        <w:t>For the 201</w:t>
      </w:r>
      <w:r w:rsidR="0001319A">
        <w:t>3</w:t>
      </w:r>
      <w:r w:rsidRPr="00A06F0C">
        <w:t>-201</w:t>
      </w:r>
      <w:r w:rsidR="0001319A">
        <w:t>4</w:t>
      </w:r>
      <w:r w:rsidRPr="00A06F0C">
        <w:t xml:space="preserve"> influenza season, </w:t>
      </w:r>
      <w:r w:rsidR="0034655B" w:rsidRPr="00A06F0C">
        <w:t>38</w:t>
      </w:r>
      <w:r w:rsidRPr="00A06F0C">
        <w:t xml:space="preserve">% of the active clinical population 6 months and older served by IHS, Tribal and Urban (I/T/U) facilities received an influenza vaccine, </w:t>
      </w:r>
      <w:r w:rsidR="000064A6" w:rsidRPr="00A06F0C">
        <w:t xml:space="preserve">an increase from </w:t>
      </w:r>
      <w:r w:rsidRPr="00A06F0C">
        <w:t xml:space="preserve">the proportion vaccinated in the previous influenza season. Among healthcare personnel (HCP), coverage was </w:t>
      </w:r>
      <w:r w:rsidR="007C6159" w:rsidRPr="00A06F0C">
        <w:t>7</w:t>
      </w:r>
      <w:r w:rsidR="00B85930">
        <w:t>8</w:t>
      </w:r>
      <w:r w:rsidRPr="00A06F0C">
        <w:t xml:space="preserve">%, representing a modest increase compared to previous years. More needs to be done to increase both patient and HCP influenza vaccination coverage. </w:t>
      </w:r>
    </w:p>
    <w:p w:rsidR="002016E6" w:rsidRDefault="006854AA" w:rsidP="002016E6">
      <w:pPr>
        <w:spacing w:after="0"/>
        <w:rPr>
          <w:b/>
        </w:rPr>
      </w:pPr>
      <w:r w:rsidRPr="006854AA">
        <w:rPr>
          <w:b/>
        </w:rPr>
        <w:t>Background</w:t>
      </w:r>
    </w:p>
    <w:p w:rsidR="006A0B64" w:rsidRDefault="00FD38F0" w:rsidP="002016E6">
      <w:pPr>
        <w:spacing w:after="0"/>
      </w:pPr>
      <w:r>
        <w:t xml:space="preserve">Each year the Indian Health Service </w:t>
      </w:r>
      <w:r w:rsidR="006C5A22">
        <w:t>(IHS)</w:t>
      </w:r>
      <w:r w:rsidR="00586434">
        <w:t xml:space="preserve"> </w:t>
      </w:r>
      <w:r>
        <w:t>monitors influenza vaccine coverage</w:t>
      </w:r>
      <w:r w:rsidR="00B06F32">
        <w:t xml:space="preserve"> among its patients </w:t>
      </w:r>
      <w:r w:rsidR="000D2228">
        <w:t>and</w:t>
      </w:r>
      <w:r w:rsidR="00C63901">
        <w:t xml:space="preserve"> healthcare personnel (</w:t>
      </w:r>
      <w:r w:rsidR="000D2228">
        <w:t>HCP</w:t>
      </w:r>
      <w:r w:rsidR="00C63901">
        <w:t>)</w:t>
      </w:r>
      <w:r>
        <w:t xml:space="preserve">. </w:t>
      </w:r>
      <w:r w:rsidR="00372B17">
        <w:t xml:space="preserve"> For patients, data are collected using the IHS Influenza Aw</w:t>
      </w:r>
      <w:r w:rsidR="00B34244">
        <w:t xml:space="preserve">areness System </w:t>
      </w:r>
      <w:r w:rsidR="00C63901">
        <w:t xml:space="preserve">(IIAS) </w:t>
      </w:r>
      <w:r w:rsidR="00372B17">
        <w:t xml:space="preserve">as well as the RPMS Influenza vaccine coverage report. </w:t>
      </w:r>
      <w:r w:rsidR="00123E7E">
        <w:t xml:space="preserve"> </w:t>
      </w:r>
      <w:r w:rsidR="00894CF9">
        <w:t xml:space="preserve">Data on HCP are collected from each facility. </w:t>
      </w:r>
      <w:r w:rsidR="00372B17">
        <w:t xml:space="preserve">Methodological details can be found in Appendix A. </w:t>
      </w:r>
    </w:p>
    <w:p w:rsidR="002016E6" w:rsidRPr="002016E6" w:rsidRDefault="002016E6" w:rsidP="002016E6">
      <w:pPr>
        <w:spacing w:after="0"/>
        <w:rPr>
          <w:b/>
        </w:rPr>
      </w:pPr>
    </w:p>
    <w:p w:rsidR="003D0E64" w:rsidRDefault="00123E7E" w:rsidP="002016E6">
      <w:pPr>
        <w:spacing w:after="0"/>
        <w:rPr>
          <w:b/>
        </w:rPr>
      </w:pPr>
      <w:r>
        <w:rPr>
          <w:b/>
        </w:rPr>
        <w:t xml:space="preserve">Influenza Vaccine </w:t>
      </w:r>
      <w:r w:rsidR="00372B17" w:rsidRPr="00372B17">
        <w:rPr>
          <w:b/>
        </w:rPr>
        <w:t>Coverage</w:t>
      </w:r>
      <w:r>
        <w:rPr>
          <w:b/>
        </w:rPr>
        <w:t xml:space="preserve"> Among Patients</w:t>
      </w:r>
    </w:p>
    <w:p w:rsidR="002016E6" w:rsidRDefault="00372B17" w:rsidP="002016E6">
      <w:pPr>
        <w:spacing w:after="0"/>
        <w:rPr>
          <w:b/>
        </w:rPr>
      </w:pPr>
      <w:r>
        <w:t>For the 201</w:t>
      </w:r>
      <w:r w:rsidR="00C26D52">
        <w:t>3</w:t>
      </w:r>
      <w:r>
        <w:t>-201</w:t>
      </w:r>
      <w:r w:rsidR="00C26D52">
        <w:t>4</w:t>
      </w:r>
      <w:r>
        <w:t xml:space="preserve"> influenza </w:t>
      </w:r>
      <w:proofErr w:type="gramStart"/>
      <w:r>
        <w:t>season</w:t>
      </w:r>
      <w:proofErr w:type="gramEnd"/>
      <w:r>
        <w:t xml:space="preserve">, approximately one third of the IHS patient population received a flu vaccine. Coverage for </w:t>
      </w:r>
      <w:r w:rsidR="00B34244">
        <w:t>the 201</w:t>
      </w:r>
      <w:r w:rsidR="00B85930">
        <w:t>3</w:t>
      </w:r>
      <w:r w:rsidR="00B34244">
        <w:t>-201</w:t>
      </w:r>
      <w:r w:rsidR="00B85930">
        <w:t>4</w:t>
      </w:r>
      <w:r w:rsidR="00B34244">
        <w:t xml:space="preserve"> influenza </w:t>
      </w:r>
      <w:proofErr w:type="gramStart"/>
      <w:r w:rsidR="00B34244">
        <w:t>season</w:t>
      </w:r>
      <w:proofErr w:type="gramEnd"/>
      <w:r w:rsidR="00B34244">
        <w:t xml:space="preserve"> </w:t>
      </w:r>
      <w:r w:rsidR="00C26D52">
        <w:t>stayed the same</w:t>
      </w:r>
      <w:r w:rsidR="009F3320">
        <w:t xml:space="preserve"> compared </w:t>
      </w:r>
      <w:r>
        <w:t>to coverage reported for the 201</w:t>
      </w:r>
      <w:r w:rsidR="00C26D52">
        <w:t>2</w:t>
      </w:r>
      <w:r>
        <w:t>-201</w:t>
      </w:r>
      <w:r w:rsidR="00C26D52">
        <w:t xml:space="preserve">3 </w:t>
      </w:r>
      <w:r>
        <w:t xml:space="preserve">season for all age and risk groups. A breakdown of coverage as reported in the 2 different </w:t>
      </w:r>
      <w:r w:rsidR="00B34244">
        <w:t>systems is included below</w:t>
      </w:r>
      <w:r w:rsidR="00894CF9">
        <w:t xml:space="preserve"> i</w:t>
      </w:r>
      <w:r w:rsidR="00B34244">
        <w:t xml:space="preserve">n </w:t>
      </w:r>
      <w:r w:rsidR="00894CF9">
        <w:t>F</w:t>
      </w:r>
      <w:r w:rsidR="00B34244">
        <w:t>igures 1 and 2. Figure 3 shows coverage by IHS Area, which rang</w:t>
      </w:r>
      <w:r w:rsidR="00EF7091">
        <w:t xml:space="preserve">ed from </w:t>
      </w:r>
      <w:r w:rsidR="00C26D52">
        <w:t>27</w:t>
      </w:r>
      <w:r w:rsidR="00894CF9">
        <w:t>% (CA</w:t>
      </w:r>
      <w:r w:rsidR="00724297">
        <w:t>O</w:t>
      </w:r>
      <w:r w:rsidR="00894CF9">
        <w:t xml:space="preserve">) to </w:t>
      </w:r>
      <w:r w:rsidR="00C26D52">
        <w:t>49</w:t>
      </w:r>
      <w:r w:rsidR="00894CF9">
        <w:t>% (TUC</w:t>
      </w:r>
      <w:r w:rsidR="00B34244">
        <w:t xml:space="preserve">). </w:t>
      </w:r>
    </w:p>
    <w:p w:rsidR="002016E6" w:rsidRDefault="002016E6" w:rsidP="002016E6">
      <w:pPr>
        <w:spacing w:after="0"/>
        <w:rPr>
          <w:b/>
        </w:rPr>
      </w:pPr>
    </w:p>
    <w:p w:rsidR="00B34244" w:rsidRPr="003D0E64" w:rsidRDefault="00B34244" w:rsidP="002016E6">
      <w:pPr>
        <w:spacing w:after="0"/>
        <w:rPr>
          <w:b/>
        </w:rPr>
      </w:pPr>
      <w:r w:rsidRPr="003D0E64">
        <w:rPr>
          <w:b/>
        </w:rPr>
        <w:t>Figure 1</w:t>
      </w:r>
      <w:r w:rsidR="003D0E64" w:rsidRPr="003D0E64">
        <w:rPr>
          <w:b/>
        </w:rPr>
        <w:t xml:space="preserve">: </w:t>
      </w:r>
      <w:r w:rsidR="003D4243">
        <w:rPr>
          <w:b/>
        </w:rPr>
        <w:t xml:space="preserve">National </w:t>
      </w:r>
      <w:r w:rsidR="003D0E64" w:rsidRPr="003D0E64">
        <w:rPr>
          <w:b/>
        </w:rPr>
        <w:t xml:space="preserve">Influenza Vaccine Coverage </w:t>
      </w:r>
      <w:r w:rsidR="003D4243">
        <w:rPr>
          <w:b/>
        </w:rPr>
        <w:t>–</w:t>
      </w:r>
      <w:r w:rsidR="003D0E64" w:rsidRPr="003D0E64">
        <w:rPr>
          <w:b/>
        </w:rPr>
        <w:t xml:space="preserve"> IIAS</w:t>
      </w:r>
      <w:r w:rsidR="003D4243">
        <w:rPr>
          <w:b/>
        </w:rPr>
        <w:t xml:space="preserve"> Influenza Vaccine Coverage Report</w:t>
      </w:r>
    </w:p>
    <w:p w:rsidR="00372B17" w:rsidRPr="00E562E3" w:rsidRDefault="006D4FB7" w:rsidP="00372B17">
      <w:pPr>
        <w:rPr>
          <w:b/>
        </w:rPr>
      </w:pPr>
      <w:r w:rsidRPr="00E562E3">
        <w:rPr>
          <w:b/>
          <w:noProof/>
        </w:rPr>
        <mc:AlternateContent>
          <mc:Choice Requires="wps">
            <w:drawing>
              <wp:anchor distT="0" distB="0" distL="114300" distR="114300" simplePos="0" relativeHeight="251659264" behindDoc="0" locked="0" layoutInCell="1" allowOverlap="1" wp14:anchorId="7FE09A8B" wp14:editId="6695C832">
                <wp:simplePos x="0" y="0"/>
                <wp:positionH relativeFrom="column">
                  <wp:posOffset>2419350</wp:posOffset>
                </wp:positionH>
                <wp:positionV relativeFrom="paragraph">
                  <wp:posOffset>3328035</wp:posOffset>
                </wp:positionV>
                <wp:extent cx="363855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noFill/>
                        <a:ln w="0">
                          <a:noFill/>
                          <a:miter lim="800000"/>
                          <a:headEnd/>
                          <a:tailEnd/>
                        </a:ln>
                      </wps:spPr>
                      <wps:txbx>
                        <w:txbxContent>
                          <w:p w:rsidR="00A03B0F" w:rsidRPr="00894CF9" w:rsidRDefault="00A03B0F">
                            <w:r>
                              <w:t>*</w:t>
                            </w:r>
                            <w:r w:rsidRPr="00894CF9">
                              <w:t xml:space="preserve">All N = </w:t>
                            </w:r>
                            <w:r w:rsidRPr="00894CF9">
                              <w:rPr>
                                <w:rFonts w:cstheme="minorHAnsi"/>
                              </w:rPr>
                              <w:t>1,</w:t>
                            </w:r>
                            <w:r>
                              <w:rPr>
                                <w:rFonts w:cstheme="minorHAnsi"/>
                              </w:rPr>
                              <w:t>1</w:t>
                            </w:r>
                            <w:r w:rsidR="00F25575">
                              <w:rPr>
                                <w:rFonts w:cstheme="minorHAnsi"/>
                              </w:rPr>
                              <w:t>6</w:t>
                            </w:r>
                            <w:r>
                              <w:rPr>
                                <w:rFonts w:cstheme="minorHAnsi"/>
                              </w:rPr>
                              <w:t>9</w:t>
                            </w:r>
                            <w:r w:rsidRPr="00894CF9">
                              <w:rPr>
                                <w:rFonts w:cstheme="minorHAnsi"/>
                              </w:rPr>
                              <w:t>,</w:t>
                            </w:r>
                            <w:r w:rsidR="000E1F4D">
                              <w:rPr>
                                <w:rFonts w:cstheme="minorHAnsi"/>
                              </w:rPr>
                              <w:t>094</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5pt;margin-top:262.05pt;width:28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" filled="f" stroked="f" strokeweight="0">
                <v:textbox>
                  <w:txbxContent>
                    <w:p w:rsidR="00A03B0F" w:rsidRPr="00894CF9" w:rsidRDefault="00A03B0F">
                      <w:r>
                        <w:t>*</w:t>
                      </w:r>
                      <w:r w:rsidRPr="00894CF9">
                        <w:t xml:space="preserve">All N = </w:t>
                      </w:r>
                      <w:r w:rsidRPr="00894CF9">
                        <w:rPr>
                          <w:rFonts w:cstheme="minorHAnsi"/>
                        </w:rPr>
                        <w:t>1,</w:t>
                      </w:r>
                      <w:r>
                        <w:rPr>
                          <w:rFonts w:cstheme="minorHAnsi"/>
                        </w:rPr>
                        <w:t>1</w:t>
                      </w:r>
                      <w:r w:rsidR="00F25575">
                        <w:rPr>
                          <w:rFonts w:cstheme="minorHAnsi"/>
                        </w:rPr>
                        <w:t>6</w:t>
                      </w:r>
                      <w:r>
                        <w:rPr>
                          <w:rFonts w:cstheme="minorHAnsi"/>
                        </w:rPr>
                        <w:t>9</w:t>
                      </w:r>
                      <w:r w:rsidRPr="00894CF9">
                        <w:rPr>
                          <w:rFonts w:cstheme="minorHAnsi"/>
                        </w:rPr>
                        <w:t>,</w:t>
                      </w:r>
                      <w:r w:rsidR="000E1F4D">
                        <w:rPr>
                          <w:rFonts w:cstheme="minorHAnsi"/>
                        </w:rPr>
                        <w:t>094</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v:textbox>
              </v:shape>
            </w:pict>
          </mc:Fallback>
        </mc:AlternateContent>
      </w:r>
      <w:r w:rsidR="00123E7E" w:rsidRPr="00E562E3">
        <w:rPr>
          <w:rFonts w:cstheme="minorHAnsi"/>
          <w:b/>
          <w:noProof/>
        </w:rPr>
        <w:drawing>
          <wp:inline distT="0" distB="0" distL="0" distR="0" wp14:anchorId="1B2E1031" wp14:editId="512FDC1A">
            <wp:extent cx="6057900" cy="3619500"/>
            <wp:effectExtent l="0" t="0" r="19050" b="19050"/>
            <wp:docPr id="3" name="Chart 3" title="National IHS Influenza Vaccine Cover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0E64" w:rsidRPr="003D0E64" w:rsidRDefault="003D0E64" w:rsidP="00372B17">
      <w:pPr>
        <w:rPr>
          <w:b/>
        </w:rPr>
      </w:pPr>
      <w:r w:rsidRPr="003D0E64">
        <w:rPr>
          <w:b/>
        </w:rPr>
        <w:lastRenderedPageBreak/>
        <w:t xml:space="preserve">Figure 2: </w:t>
      </w:r>
      <w:r w:rsidR="003D4243">
        <w:rPr>
          <w:b/>
        </w:rPr>
        <w:t xml:space="preserve">National </w:t>
      </w:r>
      <w:r w:rsidRPr="003D0E64">
        <w:rPr>
          <w:b/>
        </w:rPr>
        <w:t>Influenza Vaccine Coverage – RPMS Influenza Vaccine Coverage Report</w:t>
      </w:r>
    </w:p>
    <w:p w:rsidR="00372B17" w:rsidRDefault="000B57F1" w:rsidP="00372B17">
      <w:r>
        <w:rPr>
          <w:noProof/>
        </w:rPr>
        <mc:AlternateContent>
          <mc:Choice Requires="wps">
            <w:drawing>
              <wp:anchor distT="0" distB="0" distL="114300" distR="114300" simplePos="0" relativeHeight="251663360" behindDoc="0" locked="0" layoutInCell="1" allowOverlap="1" wp14:anchorId="341BA30B" wp14:editId="234AAF6B">
                <wp:simplePos x="0" y="0"/>
                <wp:positionH relativeFrom="column">
                  <wp:posOffset>2628900</wp:posOffset>
                </wp:positionH>
                <wp:positionV relativeFrom="paragraph">
                  <wp:posOffset>3279775</wp:posOffset>
                </wp:positionV>
                <wp:extent cx="3638550" cy="295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noFill/>
                        <a:ln w="0">
                          <a:noFill/>
                          <a:miter lim="800000"/>
                          <a:headEnd/>
                          <a:tailEnd/>
                        </a:ln>
                      </wps:spPr>
                      <wps:txbx>
                        <w:txbxContent>
                          <w:p w:rsidR="00A03B0F" w:rsidRPr="00894CF9" w:rsidRDefault="00A03B0F" w:rsidP="000B57F1">
                            <w:r>
                              <w:t xml:space="preserve">* </w:t>
                            </w:r>
                            <w:r w:rsidRPr="00894CF9">
                              <w:t xml:space="preserve">All N = </w:t>
                            </w:r>
                            <w:r>
                              <w:rPr>
                                <w:rFonts w:cstheme="minorHAnsi"/>
                              </w:rPr>
                              <w:t>8</w:t>
                            </w:r>
                            <w:r w:rsidR="00194F66">
                              <w:rPr>
                                <w:rFonts w:cstheme="minorHAnsi"/>
                              </w:rPr>
                              <w:t>31</w:t>
                            </w:r>
                            <w:r>
                              <w:rPr>
                                <w:rFonts w:cstheme="minorHAnsi"/>
                              </w:rPr>
                              <w:t>,</w:t>
                            </w:r>
                            <w:r w:rsidR="00194F66">
                              <w:rPr>
                                <w:rFonts w:cstheme="minorHAnsi"/>
                              </w:rPr>
                              <w:t>924</w:t>
                            </w:r>
                            <w:r>
                              <w:rPr>
                                <w:rFonts w:cstheme="minorHAnsi"/>
                              </w:rPr>
                              <w:t>.</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7pt;margin-top:258.25pt;width:28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" filled="f" stroked="f" strokeweight="0">
                <v:textbox>
                  <w:txbxContent>
                    <w:p w:rsidR="00A03B0F" w:rsidRPr="00894CF9" w:rsidRDefault="00A03B0F" w:rsidP="000B57F1">
                      <w:r>
                        <w:t xml:space="preserve">* </w:t>
                      </w:r>
                      <w:r w:rsidRPr="00894CF9">
                        <w:t xml:space="preserve">All N = </w:t>
                      </w:r>
                      <w:r>
                        <w:rPr>
                          <w:rFonts w:cstheme="minorHAnsi"/>
                        </w:rPr>
                        <w:t>8</w:t>
                      </w:r>
                      <w:r w:rsidR="00194F66">
                        <w:rPr>
                          <w:rFonts w:cstheme="minorHAnsi"/>
                        </w:rPr>
                        <w:t>31</w:t>
                      </w:r>
                      <w:r>
                        <w:rPr>
                          <w:rFonts w:cstheme="minorHAnsi"/>
                        </w:rPr>
                        <w:t>,</w:t>
                      </w:r>
                      <w:r w:rsidR="00194F66">
                        <w:rPr>
                          <w:rFonts w:cstheme="minorHAnsi"/>
                        </w:rPr>
                        <w:t>924</w:t>
                      </w:r>
                      <w:r>
                        <w:rPr>
                          <w:rFonts w:cstheme="minorHAnsi"/>
                        </w:rPr>
                        <w:t>.</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v:textbox>
              </v:shape>
            </w:pict>
          </mc:Fallback>
        </mc:AlternateContent>
      </w:r>
      <w:r w:rsidR="003D0E64">
        <w:rPr>
          <w:noProof/>
          <w:sz w:val="20"/>
          <w:szCs w:val="20"/>
        </w:rPr>
        <w:drawing>
          <wp:inline distT="0" distB="0" distL="0" distR="0" wp14:anchorId="03386E39" wp14:editId="26E925B9">
            <wp:extent cx="6267450" cy="3571875"/>
            <wp:effectExtent l="0" t="0" r="19050" b="9525"/>
            <wp:docPr id="5" name="Chart 5" title="National IHS Influenza Vaccine Coverage RPMS Re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0FED" w:rsidRDefault="006E0FED" w:rsidP="00372B17"/>
    <w:p w:rsidR="003D4243" w:rsidRDefault="003D0E64" w:rsidP="000E44D1">
      <w:pPr>
        <w:rPr>
          <w:b/>
        </w:rPr>
      </w:pPr>
      <w:r>
        <w:rPr>
          <w:b/>
        </w:rPr>
        <w:t>Figure 3: Influenza</w:t>
      </w:r>
      <w:r w:rsidR="003D4243">
        <w:rPr>
          <w:b/>
        </w:rPr>
        <w:t xml:space="preserve"> V</w:t>
      </w:r>
      <w:r>
        <w:rPr>
          <w:b/>
        </w:rPr>
        <w:t>accine</w:t>
      </w:r>
      <w:r w:rsidR="003D4243">
        <w:rPr>
          <w:b/>
        </w:rPr>
        <w:t xml:space="preserve"> C</w:t>
      </w:r>
      <w:r>
        <w:rPr>
          <w:b/>
        </w:rPr>
        <w:t>overage by IHS Area</w:t>
      </w:r>
      <w:r w:rsidR="00C81932">
        <w:rPr>
          <w:b/>
        </w:rPr>
        <w:t xml:space="preserve"> – </w:t>
      </w:r>
      <w:r w:rsidR="003D4243">
        <w:rPr>
          <w:b/>
        </w:rPr>
        <w:t>RPMS Influenza Vaccine Coverage Report</w:t>
      </w:r>
    </w:p>
    <w:p w:rsidR="00B34244" w:rsidRDefault="00B34244" w:rsidP="000E44D1">
      <w:pPr>
        <w:rPr>
          <w:b/>
        </w:rPr>
      </w:pPr>
      <w:r>
        <w:rPr>
          <w:noProof/>
          <w:sz w:val="24"/>
          <w:szCs w:val="24"/>
        </w:rPr>
        <w:drawing>
          <wp:inline distT="0" distB="0" distL="0" distR="0" wp14:anchorId="5958F9B5" wp14:editId="45707AE2">
            <wp:extent cx="6324600" cy="3629025"/>
            <wp:effectExtent l="0" t="0" r="19050" b="9525"/>
            <wp:docPr id="4" name="Chart 4" title="IHS Influenza Vaccine Coverage by IHS Area RPMS Reports All Ag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4244" w:rsidRPr="00095D75" w:rsidRDefault="00B34244" w:rsidP="002016E6">
      <w:pPr>
        <w:spacing w:after="0"/>
        <w:rPr>
          <w:b/>
          <w:sz w:val="24"/>
          <w:szCs w:val="24"/>
          <w:u w:val="single"/>
        </w:rPr>
      </w:pPr>
      <w:r w:rsidRPr="00095D75">
        <w:rPr>
          <w:b/>
          <w:sz w:val="24"/>
          <w:szCs w:val="24"/>
          <w:u w:val="single"/>
        </w:rPr>
        <w:lastRenderedPageBreak/>
        <w:t>Healthcare Personnel</w:t>
      </w:r>
    </w:p>
    <w:p w:rsidR="00D765EB" w:rsidRDefault="00B34244" w:rsidP="002016E6">
      <w:pPr>
        <w:spacing w:after="0"/>
        <w:rPr>
          <w:sz w:val="24"/>
          <w:szCs w:val="24"/>
        </w:rPr>
      </w:pPr>
      <w:r>
        <w:rPr>
          <w:sz w:val="24"/>
          <w:szCs w:val="24"/>
        </w:rPr>
        <w:t>For the 201</w:t>
      </w:r>
      <w:r w:rsidR="00096B3C">
        <w:rPr>
          <w:sz w:val="24"/>
          <w:szCs w:val="24"/>
        </w:rPr>
        <w:t>3</w:t>
      </w:r>
      <w:r>
        <w:rPr>
          <w:sz w:val="24"/>
          <w:szCs w:val="24"/>
        </w:rPr>
        <w:t>-201</w:t>
      </w:r>
      <w:r w:rsidR="00096B3C">
        <w:rPr>
          <w:sz w:val="24"/>
          <w:szCs w:val="24"/>
        </w:rPr>
        <w:t>4</w:t>
      </w:r>
      <w:r>
        <w:rPr>
          <w:sz w:val="24"/>
          <w:szCs w:val="24"/>
        </w:rPr>
        <w:t xml:space="preserve"> influenza season coverage among HCP increased </w:t>
      </w:r>
      <w:r w:rsidR="00096B3C">
        <w:rPr>
          <w:sz w:val="24"/>
          <w:szCs w:val="24"/>
        </w:rPr>
        <w:t>1.5</w:t>
      </w:r>
      <w:r>
        <w:rPr>
          <w:sz w:val="24"/>
          <w:szCs w:val="24"/>
        </w:rPr>
        <w:t>%</w:t>
      </w:r>
      <w:r w:rsidR="001276E5">
        <w:rPr>
          <w:sz w:val="24"/>
          <w:szCs w:val="24"/>
        </w:rPr>
        <w:t xml:space="preserve"> compared to the 201</w:t>
      </w:r>
      <w:r w:rsidR="00096B3C">
        <w:rPr>
          <w:sz w:val="24"/>
          <w:szCs w:val="24"/>
        </w:rPr>
        <w:t>2</w:t>
      </w:r>
      <w:r w:rsidR="001276E5">
        <w:rPr>
          <w:sz w:val="24"/>
          <w:szCs w:val="24"/>
        </w:rPr>
        <w:t>-1</w:t>
      </w:r>
      <w:r w:rsidR="00096B3C">
        <w:rPr>
          <w:sz w:val="24"/>
          <w:szCs w:val="24"/>
        </w:rPr>
        <w:t>3</w:t>
      </w:r>
      <w:r w:rsidR="001276E5">
        <w:rPr>
          <w:sz w:val="24"/>
          <w:szCs w:val="24"/>
        </w:rPr>
        <w:t xml:space="preserve"> season (</w:t>
      </w:r>
      <w:r w:rsidR="00096B3C">
        <w:rPr>
          <w:sz w:val="24"/>
          <w:szCs w:val="24"/>
        </w:rPr>
        <w:t>76.</w:t>
      </w:r>
      <w:r w:rsidR="00E32A23">
        <w:rPr>
          <w:sz w:val="24"/>
          <w:szCs w:val="24"/>
        </w:rPr>
        <w:t>9</w:t>
      </w:r>
      <w:r>
        <w:rPr>
          <w:sz w:val="24"/>
          <w:szCs w:val="24"/>
        </w:rPr>
        <w:t xml:space="preserve">% to </w:t>
      </w:r>
      <w:r w:rsidR="00096B3C">
        <w:rPr>
          <w:sz w:val="24"/>
          <w:szCs w:val="24"/>
        </w:rPr>
        <w:t>78.4</w:t>
      </w:r>
      <w:r>
        <w:rPr>
          <w:sz w:val="24"/>
          <w:szCs w:val="24"/>
        </w:rPr>
        <w:t>%</w:t>
      </w:r>
      <w:r w:rsidR="001276E5">
        <w:rPr>
          <w:sz w:val="24"/>
          <w:szCs w:val="24"/>
        </w:rPr>
        <w:t>)</w:t>
      </w:r>
      <w:r>
        <w:rPr>
          <w:sz w:val="24"/>
          <w:szCs w:val="24"/>
        </w:rPr>
        <w:t xml:space="preserve">.  </w:t>
      </w:r>
      <w:r w:rsidR="00D765EB">
        <w:rPr>
          <w:sz w:val="24"/>
          <w:szCs w:val="24"/>
        </w:rPr>
        <w:t>Medical contr</w:t>
      </w:r>
      <w:r w:rsidR="00894CF9">
        <w:rPr>
          <w:sz w:val="24"/>
          <w:szCs w:val="24"/>
        </w:rPr>
        <w:t>a</w:t>
      </w:r>
      <w:r w:rsidR="00D765EB">
        <w:rPr>
          <w:sz w:val="24"/>
          <w:szCs w:val="24"/>
        </w:rPr>
        <w:t xml:space="preserve">indications and refusals were slightly lower compared to previous years. </w:t>
      </w:r>
      <w:r w:rsidR="00EC3735">
        <w:rPr>
          <w:sz w:val="24"/>
          <w:szCs w:val="24"/>
        </w:rPr>
        <w:t>(Figure 4)</w:t>
      </w:r>
    </w:p>
    <w:p w:rsidR="002016E6" w:rsidRDefault="002016E6" w:rsidP="002016E6">
      <w:pPr>
        <w:spacing w:after="0"/>
        <w:rPr>
          <w:b/>
          <w:sz w:val="24"/>
          <w:szCs w:val="24"/>
        </w:rPr>
      </w:pPr>
    </w:p>
    <w:p w:rsidR="003D0E64" w:rsidRDefault="003D0E64" w:rsidP="002016E6">
      <w:pPr>
        <w:spacing w:after="0"/>
        <w:rPr>
          <w:b/>
          <w:sz w:val="24"/>
          <w:szCs w:val="24"/>
        </w:rPr>
      </w:pPr>
      <w:r w:rsidRPr="003D0E64">
        <w:rPr>
          <w:b/>
          <w:sz w:val="24"/>
          <w:szCs w:val="24"/>
        </w:rPr>
        <w:t>Figure 4: Influenza Vaccine Coverage among Healthcare Personnel</w:t>
      </w:r>
    </w:p>
    <w:p w:rsidR="0029463A" w:rsidRPr="003D0E64" w:rsidRDefault="0029463A" w:rsidP="002016E6">
      <w:pPr>
        <w:spacing w:after="0"/>
        <w:rPr>
          <w:b/>
          <w:sz w:val="24"/>
          <w:szCs w:val="24"/>
        </w:rPr>
      </w:pPr>
    </w:p>
    <w:p w:rsidR="00D765EB" w:rsidRDefault="00B372F2" w:rsidP="00B34244">
      <w:pPr>
        <w:rPr>
          <w:sz w:val="24"/>
          <w:szCs w:val="24"/>
        </w:rPr>
      </w:pPr>
      <w:r w:rsidRPr="00B372F2">
        <w:rPr>
          <w:noProof/>
          <w:sz w:val="24"/>
          <w:szCs w:val="24"/>
        </w:rPr>
        <mc:AlternateContent>
          <mc:Choice Requires="wps">
            <w:drawing>
              <wp:anchor distT="0" distB="0" distL="114300" distR="114300" simplePos="0" relativeHeight="251661312" behindDoc="0" locked="0" layoutInCell="1" allowOverlap="1" wp14:anchorId="0726F9AF" wp14:editId="7D457048">
                <wp:simplePos x="0" y="0"/>
                <wp:positionH relativeFrom="column">
                  <wp:posOffset>4552950</wp:posOffset>
                </wp:positionH>
                <wp:positionV relativeFrom="paragraph">
                  <wp:posOffset>2957195</wp:posOffset>
                </wp:positionV>
                <wp:extent cx="1323975" cy="2476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7650"/>
                        </a:xfrm>
                        <a:prstGeom prst="rect">
                          <a:avLst/>
                        </a:prstGeom>
                        <a:solidFill>
                          <a:srgbClr val="FFFFFF"/>
                        </a:solidFill>
                        <a:ln w="9525">
                          <a:noFill/>
                          <a:miter lim="800000"/>
                          <a:headEnd/>
                          <a:tailEnd/>
                        </a:ln>
                      </wps:spPr>
                      <wps:txbx>
                        <w:txbxContent>
                          <w:p w:rsidR="00A03B0F" w:rsidRPr="003D4243" w:rsidRDefault="003D4243">
                            <w:r w:rsidRPr="003D4243">
                              <w:t xml:space="preserve">* </w:t>
                            </w:r>
                            <w:r w:rsidR="00A03B0F" w:rsidRPr="003D4243">
                              <w:t xml:space="preserve">N= </w:t>
                            </w:r>
                            <w:r w:rsidR="00096B3C" w:rsidRPr="003D4243">
                              <w:t>32</w:t>
                            </w:r>
                            <w:r w:rsidRPr="003D4243">
                              <w:t>,</w:t>
                            </w:r>
                            <w:r w:rsidR="00096B3C" w:rsidRPr="003D4243">
                              <w:t>691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58.5pt;margin-top:232.85pt;width:104.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" stroked="f">
                <v:textbox>
                  <w:txbxContent>
                    <w:p w:rsidR="00A03B0F" w:rsidRPr="003D4243" w:rsidRDefault="003D4243">
                      <w:r w:rsidRPr="003D4243">
                        <w:t xml:space="preserve">* </w:t>
                      </w:r>
                      <w:r w:rsidR="00A03B0F" w:rsidRPr="003D4243">
                        <w:t xml:space="preserve">N= </w:t>
                      </w:r>
                      <w:r w:rsidR="00096B3C" w:rsidRPr="003D4243">
                        <w:t>32</w:t>
                      </w:r>
                      <w:r w:rsidRPr="003D4243">
                        <w:t>,</w:t>
                      </w:r>
                      <w:r w:rsidR="00096B3C" w:rsidRPr="003D4243">
                        <w:t>691</w:t>
                      </w:r>
                    </w:p>
                  </w:txbxContent>
                </v:textbox>
              </v:shape>
            </w:pict>
          </mc:Fallback>
        </mc:AlternateContent>
      </w:r>
      <w:bookmarkStart w:id="0" w:name="_GoBack"/>
      <w:r w:rsidR="00D765EB">
        <w:rPr>
          <w:noProof/>
          <w:sz w:val="24"/>
          <w:szCs w:val="24"/>
        </w:rPr>
        <w:drawing>
          <wp:inline distT="0" distB="0" distL="0" distR="0" wp14:anchorId="6BF185D2" wp14:editId="2BA7B94F">
            <wp:extent cx="6134100" cy="3295650"/>
            <wp:effectExtent l="0" t="0" r="19050" b="19050"/>
            <wp:docPr id="2" name="Chart 2" title="Healthcare Personnel Seasonal Influenza Vaccine Coverage 2008-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0B57F1" w:rsidRDefault="000B57F1" w:rsidP="002016E6">
      <w:pPr>
        <w:spacing w:after="0"/>
        <w:rPr>
          <w:b/>
          <w:sz w:val="24"/>
          <w:szCs w:val="24"/>
        </w:rPr>
      </w:pPr>
    </w:p>
    <w:p w:rsidR="003D0E64" w:rsidRPr="003D0E64" w:rsidRDefault="003D0E64" w:rsidP="002016E6">
      <w:pPr>
        <w:spacing w:after="0"/>
        <w:rPr>
          <w:b/>
          <w:sz w:val="24"/>
          <w:szCs w:val="24"/>
        </w:rPr>
      </w:pPr>
      <w:r w:rsidRPr="003D0E64">
        <w:rPr>
          <w:b/>
          <w:sz w:val="24"/>
          <w:szCs w:val="24"/>
        </w:rPr>
        <w:t>Conclusion</w:t>
      </w:r>
    </w:p>
    <w:p w:rsidR="003D0E64" w:rsidRDefault="003D0E64" w:rsidP="002016E6">
      <w:pPr>
        <w:spacing w:after="0"/>
        <w:rPr>
          <w:sz w:val="24"/>
          <w:szCs w:val="24"/>
        </w:rPr>
      </w:pPr>
      <w:r>
        <w:rPr>
          <w:sz w:val="24"/>
          <w:szCs w:val="24"/>
        </w:rPr>
        <w:t>While patient coverage estimates differ depend</w:t>
      </w:r>
      <w:r w:rsidR="0029463A">
        <w:rPr>
          <w:sz w:val="24"/>
          <w:szCs w:val="24"/>
        </w:rPr>
        <w:t xml:space="preserve">ing on the data source used, </w:t>
      </w:r>
      <w:r>
        <w:rPr>
          <w:sz w:val="24"/>
          <w:szCs w:val="24"/>
        </w:rPr>
        <w:t xml:space="preserve">the IIAS </w:t>
      </w:r>
      <w:r w:rsidR="0029463A">
        <w:rPr>
          <w:sz w:val="24"/>
          <w:szCs w:val="24"/>
        </w:rPr>
        <w:t xml:space="preserve">vaccine coverage report shows a decrease in the 2013-2014 season; </w:t>
      </w:r>
      <w:r>
        <w:rPr>
          <w:sz w:val="24"/>
          <w:szCs w:val="24"/>
        </w:rPr>
        <w:t>the RPMS influenza vaccine coverage reports</w:t>
      </w:r>
      <w:r w:rsidR="0029463A">
        <w:rPr>
          <w:sz w:val="24"/>
          <w:szCs w:val="24"/>
        </w:rPr>
        <w:t xml:space="preserve"> shows a slight increase in coverage</w:t>
      </w:r>
      <w:r>
        <w:rPr>
          <w:sz w:val="24"/>
          <w:szCs w:val="24"/>
        </w:rPr>
        <w:t xml:space="preserve">. For the last </w:t>
      </w:r>
      <w:r w:rsidR="00C13470">
        <w:rPr>
          <w:sz w:val="24"/>
          <w:szCs w:val="24"/>
        </w:rPr>
        <w:t>3</w:t>
      </w:r>
      <w:r>
        <w:rPr>
          <w:sz w:val="24"/>
          <w:szCs w:val="24"/>
        </w:rPr>
        <w:t xml:space="preserve"> seasons </w:t>
      </w:r>
      <w:r w:rsidR="009B2D28">
        <w:rPr>
          <w:sz w:val="24"/>
          <w:szCs w:val="24"/>
        </w:rPr>
        <w:t xml:space="preserve">just over </w:t>
      </w:r>
      <w:r>
        <w:rPr>
          <w:sz w:val="24"/>
          <w:szCs w:val="24"/>
        </w:rPr>
        <w:t>one third of the active patients seen at an I/T/U facility received an influenza vaccine, indicating that more needs to be done to promote and support vaccination efforts in I/T/U settings. While regional variation in coverage levels may be attributed in part to different vaccination strategies employed in different Areas, differences in AI/</w:t>
      </w:r>
      <w:proofErr w:type="gramStart"/>
      <w:r>
        <w:rPr>
          <w:sz w:val="24"/>
          <w:szCs w:val="24"/>
        </w:rPr>
        <w:t>AN</w:t>
      </w:r>
      <w:proofErr w:type="gramEnd"/>
      <w:r>
        <w:rPr>
          <w:sz w:val="24"/>
          <w:szCs w:val="24"/>
        </w:rPr>
        <w:t xml:space="preserve"> population size and relative proximity to an I/T/U facility likely play a role. In addition, missing data in the RPMS system, particularly in those IHS Areas with large urban populations with other sources of care, likely contributes to an underestimate of true coverage.</w:t>
      </w:r>
    </w:p>
    <w:p w:rsidR="002016E6" w:rsidRDefault="002016E6" w:rsidP="002016E6">
      <w:pPr>
        <w:spacing w:after="0"/>
        <w:rPr>
          <w:sz w:val="24"/>
          <w:szCs w:val="24"/>
        </w:rPr>
      </w:pPr>
    </w:p>
    <w:p w:rsidR="00B34244" w:rsidRPr="00C81932" w:rsidRDefault="00BD2392" w:rsidP="00C81932">
      <w:pPr>
        <w:rPr>
          <w:sz w:val="24"/>
          <w:szCs w:val="24"/>
        </w:rPr>
      </w:pPr>
      <w:r>
        <w:rPr>
          <w:sz w:val="24"/>
          <w:szCs w:val="24"/>
        </w:rPr>
        <w:t>Although</w:t>
      </w:r>
      <w:r w:rsidR="002016E6">
        <w:rPr>
          <w:sz w:val="24"/>
          <w:szCs w:val="24"/>
        </w:rPr>
        <w:t xml:space="preserve"> </w:t>
      </w:r>
      <w:r w:rsidR="003D0E64">
        <w:rPr>
          <w:sz w:val="24"/>
          <w:szCs w:val="24"/>
        </w:rPr>
        <w:t>enco</w:t>
      </w:r>
      <w:r w:rsidR="00BA7D52">
        <w:rPr>
          <w:sz w:val="24"/>
          <w:szCs w:val="24"/>
        </w:rPr>
        <w:t>uraging that coverage estimates</w:t>
      </w:r>
      <w:r w:rsidR="002016E6">
        <w:rPr>
          <w:sz w:val="24"/>
          <w:szCs w:val="24"/>
        </w:rPr>
        <w:t xml:space="preserve"> for HCP </w:t>
      </w:r>
      <w:r w:rsidR="003D0E64">
        <w:rPr>
          <w:sz w:val="24"/>
          <w:szCs w:val="24"/>
        </w:rPr>
        <w:t xml:space="preserve">increased compared to previous years, the increase was </w:t>
      </w:r>
      <w:r w:rsidR="00123E7E">
        <w:rPr>
          <w:sz w:val="24"/>
          <w:szCs w:val="24"/>
        </w:rPr>
        <w:t>modest</w:t>
      </w:r>
      <w:r w:rsidR="003D0E64">
        <w:rPr>
          <w:sz w:val="24"/>
          <w:szCs w:val="24"/>
        </w:rPr>
        <w:t xml:space="preserve"> and coverage appears to be plateauing. Establishing a comprehensive agency-wide policy on employee vaccination may help to lay the foundation for additional action. </w:t>
      </w:r>
      <w:r w:rsidR="007F3B08">
        <w:rPr>
          <w:b/>
        </w:rPr>
        <w:br w:type="page"/>
      </w:r>
      <w:r w:rsidR="003D0E64" w:rsidRPr="00C81932">
        <w:rPr>
          <w:b/>
          <w:sz w:val="32"/>
          <w:szCs w:val="32"/>
        </w:rPr>
        <w:t>Appendix A</w:t>
      </w:r>
      <w:r w:rsidR="002016E6">
        <w:rPr>
          <w:b/>
          <w:sz w:val="32"/>
          <w:szCs w:val="32"/>
        </w:rPr>
        <w:t xml:space="preserve"> - METHODS</w:t>
      </w:r>
    </w:p>
    <w:p w:rsidR="007F3B08" w:rsidRPr="002016E6" w:rsidRDefault="002016E6" w:rsidP="002016E6">
      <w:pPr>
        <w:spacing w:after="0"/>
        <w:rPr>
          <w:b/>
        </w:rPr>
      </w:pPr>
      <w:r>
        <w:rPr>
          <w:b/>
        </w:rPr>
        <w:tab/>
      </w:r>
      <w:r w:rsidR="007F3B08" w:rsidRPr="002016E6">
        <w:rPr>
          <w:b/>
        </w:rPr>
        <w:t>IHS Influenza Awareness System</w:t>
      </w:r>
    </w:p>
    <w:p w:rsidR="003D0E64" w:rsidRDefault="003D0E64" w:rsidP="003501B3">
      <w:pPr>
        <w:spacing w:after="0"/>
        <w:ind w:left="720"/>
      </w:pPr>
      <w:r w:rsidRPr="002016E6">
        <w:t>For patients, national influenza vaccine coverage is monitored weekly throughout the influenza season</w:t>
      </w:r>
      <w:r>
        <w:t xml:space="preserve"> using the IHS Influenza Awareness System (IIAS). </w:t>
      </w:r>
      <w:r w:rsidR="007F3B08">
        <w:t>Data</w:t>
      </w:r>
      <w:r>
        <w:t xml:space="preserve"> are based on vaccine doses administered and recorded in the RPMS system, and are limited to </w:t>
      </w:r>
      <w:r w:rsidR="007F3B08">
        <w:t xml:space="preserve">active clinical </w:t>
      </w:r>
      <w:r>
        <w:t>patients</w:t>
      </w:r>
      <w:r w:rsidR="007F3B08">
        <w:t>, defined as patients</w:t>
      </w:r>
      <w:r>
        <w:t xml:space="preserve"> who have had at least 2 visits in the last 3 years.  </w:t>
      </w:r>
      <w:r w:rsidR="007F3B08">
        <w:t>For the 201</w:t>
      </w:r>
      <w:r w:rsidR="0063238B">
        <w:t>3</w:t>
      </w:r>
      <w:r w:rsidR="007F3B08">
        <w:t>-201</w:t>
      </w:r>
      <w:r w:rsidR="00734E41">
        <w:t xml:space="preserve">4 </w:t>
      </w:r>
      <w:proofErr w:type="gramStart"/>
      <w:r w:rsidR="007F3B08">
        <w:t>season</w:t>
      </w:r>
      <w:proofErr w:type="gramEnd"/>
      <w:r w:rsidR="007F3B08">
        <w:t xml:space="preserve"> the IIAS </w:t>
      </w:r>
      <w:r w:rsidR="007F3B08" w:rsidRPr="00FA3AA3">
        <w:rPr>
          <w:rFonts w:cstheme="minorHAnsi"/>
        </w:rPr>
        <w:t>captured data on 1.</w:t>
      </w:r>
      <w:r w:rsidR="0083041A">
        <w:rPr>
          <w:rFonts w:cstheme="minorHAnsi"/>
        </w:rPr>
        <w:t xml:space="preserve">1 </w:t>
      </w:r>
      <w:r w:rsidR="007F3B08" w:rsidRPr="00FA3AA3">
        <w:rPr>
          <w:rFonts w:cstheme="minorHAnsi"/>
        </w:rPr>
        <w:t xml:space="preserve">million active </w:t>
      </w:r>
      <w:r w:rsidR="007F3B08">
        <w:rPr>
          <w:rFonts w:cstheme="minorHAnsi"/>
        </w:rPr>
        <w:t xml:space="preserve">clinical </w:t>
      </w:r>
      <w:r w:rsidR="007F3B08" w:rsidRPr="00FA3AA3">
        <w:rPr>
          <w:rFonts w:cstheme="minorHAnsi"/>
        </w:rPr>
        <w:t>patients</w:t>
      </w:r>
      <w:r w:rsidR="007F3B08">
        <w:rPr>
          <w:rFonts w:cstheme="minorHAnsi"/>
        </w:rPr>
        <w:t xml:space="preserve"> from </w:t>
      </w:r>
      <w:r w:rsidR="0063238B">
        <w:rPr>
          <w:rFonts w:cstheme="minorHAnsi"/>
        </w:rPr>
        <w:t>366</w:t>
      </w:r>
      <w:r w:rsidR="004C1016">
        <w:rPr>
          <w:rFonts w:cstheme="minorHAnsi"/>
        </w:rPr>
        <w:t xml:space="preserve"> </w:t>
      </w:r>
      <w:r w:rsidR="0063238B">
        <w:rPr>
          <w:rFonts w:cstheme="minorHAnsi"/>
        </w:rPr>
        <w:t>of 690 (5</w:t>
      </w:r>
      <w:r w:rsidR="003501B3">
        <w:rPr>
          <w:rFonts w:cstheme="minorHAnsi"/>
        </w:rPr>
        <w:t xml:space="preserve">3%) </w:t>
      </w:r>
      <w:r w:rsidR="00A03B0F">
        <w:rPr>
          <w:rFonts w:cstheme="minorHAnsi"/>
        </w:rPr>
        <w:t xml:space="preserve">total </w:t>
      </w:r>
      <w:r w:rsidR="004C1016">
        <w:rPr>
          <w:rFonts w:cstheme="minorHAnsi"/>
        </w:rPr>
        <w:t xml:space="preserve">exporting </w:t>
      </w:r>
      <w:r w:rsidR="007F3B08">
        <w:rPr>
          <w:rFonts w:cstheme="minorHAnsi"/>
        </w:rPr>
        <w:t>facilities</w:t>
      </w:r>
      <w:r w:rsidR="007F3B08" w:rsidRPr="00FA3AA3">
        <w:rPr>
          <w:rFonts w:cstheme="minorHAnsi"/>
        </w:rPr>
        <w:t>.</w:t>
      </w:r>
      <w:r w:rsidR="007F3B08">
        <w:rPr>
          <w:rFonts w:cstheme="minorHAnsi"/>
        </w:rPr>
        <w:t xml:space="preserve"> </w:t>
      </w:r>
      <w:r w:rsidR="00A03B0F">
        <w:rPr>
          <w:rFonts w:cstheme="minorHAnsi"/>
        </w:rPr>
        <w:t xml:space="preserve">Exporting facilities </w:t>
      </w:r>
      <w:r w:rsidR="00B61BCE">
        <w:rPr>
          <w:rFonts w:cstheme="minorHAnsi"/>
        </w:rPr>
        <w:t>defined</w:t>
      </w:r>
      <w:r w:rsidR="00A03B0F">
        <w:rPr>
          <w:rFonts w:cstheme="minorHAnsi"/>
        </w:rPr>
        <w:t xml:space="preserve"> by the IIAS include Alaska Village Clinics, Health Centers, Health Locations, Health Stations and Hospitals.</w:t>
      </w:r>
    </w:p>
    <w:p w:rsidR="002016E6" w:rsidRDefault="002016E6" w:rsidP="002016E6">
      <w:pPr>
        <w:spacing w:after="0"/>
        <w:rPr>
          <w:rFonts w:cstheme="minorHAnsi"/>
          <w:b/>
          <w:u w:val="single"/>
        </w:rPr>
      </w:pPr>
    </w:p>
    <w:p w:rsidR="00A21FC9" w:rsidRPr="002016E6" w:rsidRDefault="002016E6" w:rsidP="002016E6">
      <w:pPr>
        <w:spacing w:after="0"/>
        <w:rPr>
          <w:rFonts w:cstheme="minorHAnsi"/>
          <w:b/>
        </w:rPr>
      </w:pPr>
      <w:r>
        <w:rPr>
          <w:rFonts w:cstheme="minorHAnsi"/>
          <w:b/>
        </w:rPr>
        <w:tab/>
      </w:r>
      <w:r w:rsidR="007F3B08" w:rsidRPr="002016E6">
        <w:rPr>
          <w:rFonts w:cstheme="minorHAnsi"/>
          <w:b/>
        </w:rPr>
        <w:t>RPMS Influenza Vaccine Coverage Report</w:t>
      </w:r>
    </w:p>
    <w:p w:rsidR="007F3B08" w:rsidRDefault="007F3B08" w:rsidP="008D0370">
      <w:pPr>
        <w:spacing w:after="0"/>
        <w:ind w:left="720"/>
      </w:pPr>
      <w:r>
        <w:t>Reports on patient influenza vaccine coverage generated using the RPMS influenza vaccine coverage report are collected from each facility on Dec. 31</w:t>
      </w:r>
      <w:r w:rsidRPr="006A0B64">
        <w:rPr>
          <w:vertAlign w:val="superscript"/>
        </w:rPr>
        <w:t>st</w:t>
      </w:r>
      <w:r>
        <w:t xml:space="preserve"> and March 31</w:t>
      </w:r>
      <w:r>
        <w:rPr>
          <w:vertAlign w:val="superscript"/>
        </w:rPr>
        <w:t>,s</w:t>
      </w:r>
      <w:r w:rsidRPr="006A0B64">
        <w:rPr>
          <w:vertAlign w:val="superscript"/>
        </w:rPr>
        <w:t>t</w:t>
      </w:r>
      <w:r>
        <w:rPr>
          <w:vertAlign w:val="superscript"/>
        </w:rPr>
        <w:t xml:space="preserve">  </w:t>
      </w:r>
      <w:r>
        <w:t xml:space="preserve">and compiled at the national and IHS Area levels. The RPMS influenza vaccine coverage report is based on vaccine doses administered and recorded in the RPMS system, and is limited to active clinical patients, defined as patients who have had at least 2 visits in the last 3 years.  </w:t>
      </w:r>
      <w:r>
        <w:rPr>
          <w:sz w:val="24"/>
          <w:szCs w:val="24"/>
        </w:rPr>
        <w:t>RPMS influenza vaccine coverage reports were collected from</w:t>
      </w:r>
      <w:r w:rsidR="008D0370">
        <w:rPr>
          <w:sz w:val="24"/>
          <w:szCs w:val="24"/>
        </w:rPr>
        <w:t xml:space="preserve"> </w:t>
      </w:r>
      <w:r w:rsidR="004C1016">
        <w:rPr>
          <w:sz w:val="24"/>
          <w:szCs w:val="24"/>
        </w:rPr>
        <w:t>1</w:t>
      </w:r>
      <w:r w:rsidR="0063238B">
        <w:rPr>
          <w:sz w:val="24"/>
          <w:szCs w:val="24"/>
        </w:rPr>
        <w:t>8</w:t>
      </w:r>
      <w:r w:rsidR="004D0F45">
        <w:rPr>
          <w:sz w:val="24"/>
          <w:szCs w:val="24"/>
        </w:rPr>
        <w:t>3</w:t>
      </w:r>
      <w:r>
        <w:rPr>
          <w:sz w:val="24"/>
          <w:szCs w:val="24"/>
        </w:rPr>
        <w:t xml:space="preserve"> facilities, representing </w:t>
      </w:r>
      <w:r w:rsidR="007F08E9">
        <w:rPr>
          <w:sz w:val="24"/>
          <w:szCs w:val="24"/>
        </w:rPr>
        <w:t>8</w:t>
      </w:r>
      <w:r w:rsidR="004D0F45">
        <w:rPr>
          <w:sz w:val="24"/>
          <w:szCs w:val="24"/>
        </w:rPr>
        <w:t>3</w:t>
      </w:r>
      <w:r w:rsidR="0063238B">
        <w:rPr>
          <w:sz w:val="24"/>
          <w:szCs w:val="24"/>
        </w:rPr>
        <w:t>1</w:t>
      </w:r>
      <w:r w:rsidR="004C1016">
        <w:rPr>
          <w:sz w:val="24"/>
          <w:szCs w:val="24"/>
        </w:rPr>
        <w:t>,</w:t>
      </w:r>
      <w:r w:rsidR="0063238B">
        <w:rPr>
          <w:sz w:val="24"/>
          <w:szCs w:val="24"/>
        </w:rPr>
        <w:t>9</w:t>
      </w:r>
      <w:r w:rsidR="004D0F45">
        <w:rPr>
          <w:sz w:val="24"/>
          <w:szCs w:val="24"/>
        </w:rPr>
        <w:t>24</w:t>
      </w:r>
      <w:r w:rsidR="008D0370">
        <w:rPr>
          <w:sz w:val="24"/>
          <w:szCs w:val="24"/>
        </w:rPr>
        <w:t xml:space="preserve"> </w:t>
      </w:r>
      <w:r>
        <w:rPr>
          <w:sz w:val="24"/>
          <w:szCs w:val="24"/>
        </w:rPr>
        <w:t>active clinical patients.</w:t>
      </w:r>
    </w:p>
    <w:p w:rsidR="000E44D1" w:rsidRDefault="000E44D1" w:rsidP="002016E6">
      <w:pPr>
        <w:pStyle w:val="Default"/>
        <w:rPr>
          <w:rFonts w:asciiTheme="minorHAnsi" w:hAnsiTheme="minorHAnsi" w:cstheme="minorHAnsi"/>
        </w:rPr>
      </w:pPr>
    </w:p>
    <w:p w:rsidR="000E44D1" w:rsidRPr="002016E6" w:rsidRDefault="002016E6" w:rsidP="002016E6">
      <w:pPr>
        <w:pStyle w:val="Default"/>
        <w:rPr>
          <w:rFonts w:asciiTheme="minorHAnsi" w:hAnsiTheme="minorHAnsi" w:cstheme="minorHAnsi"/>
          <w:b/>
        </w:rPr>
      </w:pPr>
      <w:r>
        <w:rPr>
          <w:rFonts w:asciiTheme="minorHAnsi" w:hAnsiTheme="minorHAnsi" w:cstheme="minorHAnsi"/>
          <w:b/>
        </w:rPr>
        <w:tab/>
      </w:r>
      <w:r w:rsidR="007F3B08" w:rsidRPr="002016E6">
        <w:rPr>
          <w:rFonts w:asciiTheme="minorHAnsi" w:hAnsiTheme="minorHAnsi" w:cstheme="minorHAnsi"/>
          <w:b/>
        </w:rPr>
        <w:t>Health Care Personnel Influenza Vaccine Coverage Reports</w:t>
      </w:r>
    </w:p>
    <w:p w:rsidR="007F3B08" w:rsidRDefault="0063238B" w:rsidP="0063238B">
      <w:pPr>
        <w:spacing w:after="0"/>
        <w:ind w:left="720"/>
      </w:pPr>
      <w:r>
        <w:t xml:space="preserve">This year IHS adopted the National Quality Forum (NQF) Healthcare Personnel influenza vaccination measure and reporting process. For this initiative, </w:t>
      </w:r>
      <w:r w:rsidR="007F3B08">
        <w:t>Healthcare Personnel (HCP)  are defined as any IHS, Tr</w:t>
      </w:r>
      <w:r w:rsidR="00CD41DD">
        <w:t>ibal or other employee who has been physically present in an IHS, tribal or Urban Indian  (I/T/U) healthcare facility for at least 1 working day between October 1 and March 31,</w:t>
      </w:r>
      <w:r w:rsidR="007F3B08">
        <w:t xml:space="preserve"> regardless</w:t>
      </w:r>
      <w:r w:rsidR="007A6501">
        <w:t xml:space="preserve"> of their contact with patients</w:t>
      </w:r>
      <w:r>
        <w:t xml:space="preserve">. </w:t>
      </w:r>
      <w:r w:rsidR="007F3B08">
        <w:t>Because data for HCP are not usually captured in the RPMS patient database, tracking of influenza vaccine among HCP is done either manually or using other software products sites may have in place. For HCP, influenza doses administered either a</w:t>
      </w:r>
      <w:r w:rsidR="008D62D5">
        <w:t>t the facility or elsewhere were</w:t>
      </w:r>
      <w:r>
        <w:t xml:space="preserve"> </w:t>
      </w:r>
      <w:r w:rsidR="007F3B08">
        <w:t xml:space="preserve">counted as “vaccinated”; information on refusals </w:t>
      </w:r>
      <w:r w:rsidR="008D62D5">
        <w:t>and medical contraindications was</w:t>
      </w:r>
      <w:r w:rsidR="007F3B08">
        <w:t xml:space="preserve"> also collected. </w:t>
      </w:r>
      <w:r w:rsidR="00C33B4E">
        <w:t xml:space="preserve"> In 2009, there were approximately 38,000 people employed in the I/T/U system, though not all of them worked in healthcare facilities.  For the 201</w:t>
      </w:r>
      <w:r>
        <w:t>3</w:t>
      </w:r>
      <w:r w:rsidR="00C33B4E">
        <w:t>-201</w:t>
      </w:r>
      <w:r>
        <w:t>4</w:t>
      </w:r>
      <w:r w:rsidR="00C33B4E">
        <w:t xml:space="preserve"> influenza season HCP data were collected from</w:t>
      </w:r>
      <w:r w:rsidR="004C1016">
        <w:t xml:space="preserve"> 1</w:t>
      </w:r>
      <w:r>
        <w:t>59</w:t>
      </w:r>
      <w:r w:rsidR="004C1016">
        <w:t xml:space="preserve"> </w:t>
      </w:r>
      <w:r w:rsidR="008D62D5">
        <w:t xml:space="preserve">facilities on </w:t>
      </w:r>
      <w:r>
        <w:t>32</w:t>
      </w:r>
      <w:r w:rsidR="0083041A">
        <w:t>,</w:t>
      </w:r>
      <w:r>
        <w:t>691</w:t>
      </w:r>
      <w:r w:rsidR="004C1016">
        <w:t xml:space="preserve"> </w:t>
      </w:r>
      <w:r w:rsidR="008D62D5" w:rsidRPr="008D62D5">
        <w:t>HCP.</w:t>
      </w:r>
      <w:r w:rsidR="008D62D5">
        <w:rPr>
          <w:sz w:val="24"/>
          <w:szCs w:val="24"/>
        </w:rPr>
        <w:t xml:space="preserve"> </w:t>
      </w:r>
    </w:p>
    <w:p w:rsidR="000E44D1" w:rsidRDefault="000E44D1" w:rsidP="002016E6">
      <w:pPr>
        <w:pStyle w:val="Default"/>
        <w:rPr>
          <w:rFonts w:asciiTheme="minorHAnsi" w:hAnsiTheme="minorHAnsi" w:cstheme="minorHAnsi"/>
        </w:rPr>
      </w:pPr>
    </w:p>
    <w:p w:rsidR="007F3B08" w:rsidRDefault="002B7BA5" w:rsidP="002016E6">
      <w:pPr>
        <w:spacing w:after="0"/>
        <w:rPr>
          <w:b/>
          <w:sz w:val="24"/>
          <w:szCs w:val="24"/>
        </w:rPr>
      </w:pPr>
      <w:r>
        <w:rPr>
          <w:b/>
          <w:sz w:val="24"/>
          <w:szCs w:val="24"/>
        </w:rPr>
        <w:tab/>
      </w:r>
      <w:r w:rsidR="007F3B08" w:rsidRPr="00D71174">
        <w:rPr>
          <w:b/>
          <w:sz w:val="24"/>
          <w:szCs w:val="24"/>
        </w:rPr>
        <w:t>Limi</w:t>
      </w:r>
      <w:r w:rsidR="007F3B08">
        <w:rPr>
          <w:b/>
          <w:sz w:val="24"/>
          <w:szCs w:val="24"/>
        </w:rPr>
        <w:t>t</w:t>
      </w:r>
      <w:r w:rsidR="007F3B08" w:rsidRPr="00D71174">
        <w:rPr>
          <w:b/>
          <w:sz w:val="24"/>
          <w:szCs w:val="24"/>
        </w:rPr>
        <w:t>ations</w:t>
      </w:r>
    </w:p>
    <w:p w:rsidR="007F3B08" w:rsidRDefault="002B7BA5" w:rsidP="002016E6">
      <w:pPr>
        <w:spacing w:after="0"/>
        <w:rPr>
          <w:sz w:val="24"/>
          <w:szCs w:val="24"/>
        </w:rPr>
      </w:pPr>
      <w:r>
        <w:rPr>
          <w:sz w:val="24"/>
          <w:szCs w:val="24"/>
        </w:rPr>
        <w:tab/>
      </w:r>
      <w:r w:rsidR="007F3B08">
        <w:rPr>
          <w:sz w:val="24"/>
          <w:szCs w:val="24"/>
        </w:rPr>
        <w:t xml:space="preserve">While existing data are helpful in providing an overall picture of influenza vaccine </w:t>
      </w:r>
      <w:r>
        <w:rPr>
          <w:sz w:val="24"/>
          <w:szCs w:val="24"/>
        </w:rPr>
        <w:tab/>
      </w:r>
      <w:r w:rsidR="007F3B08">
        <w:rPr>
          <w:sz w:val="24"/>
          <w:szCs w:val="24"/>
        </w:rPr>
        <w:t xml:space="preserve">coverage and can be useful for monitoring trends over time, there are limitations.  Not </w:t>
      </w:r>
      <w:r>
        <w:rPr>
          <w:sz w:val="24"/>
          <w:szCs w:val="24"/>
        </w:rPr>
        <w:tab/>
      </w:r>
      <w:r w:rsidR="007F3B08">
        <w:rPr>
          <w:sz w:val="24"/>
          <w:szCs w:val="24"/>
        </w:rPr>
        <w:t xml:space="preserve">all sites participate in reporting, and patient data are not de-duplicated between </w:t>
      </w:r>
      <w:r>
        <w:rPr>
          <w:sz w:val="24"/>
          <w:szCs w:val="24"/>
        </w:rPr>
        <w:tab/>
      </w:r>
      <w:r w:rsidR="007F3B08">
        <w:rPr>
          <w:sz w:val="24"/>
          <w:szCs w:val="24"/>
        </w:rPr>
        <w:t xml:space="preserve">facilities which can lead to an underestimate of coverage. </w:t>
      </w:r>
    </w:p>
    <w:p w:rsidR="007F3B08" w:rsidRDefault="007F3B08" w:rsidP="007F3B08">
      <w:r>
        <w:rPr>
          <w:sz w:val="24"/>
          <w:szCs w:val="24"/>
        </w:rPr>
        <w:t xml:space="preserve"> </w:t>
      </w:r>
    </w:p>
    <w:p w:rsidR="00D71174" w:rsidRPr="00D71174" w:rsidRDefault="00D71174" w:rsidP="00B61BCE">
      <w:pPr>
        <w:rPr>
          <w:b/>
          <w:sz w:val="24"/>
          <w:szCs w:val="24"/>
        </w:rPr>
      </w:pPr>
    </w:p>
    <w:sectPr w:rsidR="00D71174" w:rsidRPr="00D71174" w:rsidSect="002016E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0F" w:rsidRDefault="00A03B0F" w:rsidP="003F08EA">
      <w:pPr>
        <w:spacing w:after="0" w:line="240" w:lineRule="auto"/>
      </w:pPr>
      <w:r>
        <w:separator/>
      </w:r>
    </w:p>
  </w:endnote>
  <w:endnote w:type="continuationSeparator" w:id="0">
    <w:p w:rsidR="00A03B0F" w:rsidRDefault="00A03B0F" w:rsidP="003F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0F" w:rsidRDefault="00A03B0F" w:rsidP="003F08EA">
      <w:pPr>
        <w:spacing w:after="0" w:line="240" w:lineRule="auto"/>
      </w:pPr>
      <w:r>
        <w:separator/>
      </w:r>
    </w:p>
  </w:footnote>
  <w:footnote w:type="continuationSeparator" w:id="0">
    <w:p w:rsidR="00A03B0F" w:rsidRDefault="00A03B0F" w:rsidP="003F0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F0"/>
    <w:rsid w:val="000022D5"/>
    <w:rsid w:val="000064A6"/>
    <w:rsid w:val="0001319A"/>
    <w:rsid w:val="00045299"/>
    <w:rsid w:val="000548C9"/>
    <w:rsid w:val="00075C3D"/>
    <w:rsid w:val="00084DB5"/>
    <w:rsid w:val="000955E2"/>
    <w:rsid w:val="00095D75"/>
    <w:rsid w:val="00096B3C"/>
    <w:rsid w:val="000B57F1"/>
    <w:rsid w:val="000D2228"/>
    <w:rsid w:val="000E1F4D"/>
    <w:rsid w:val="000E44D1"/>
    <w:rsid w:val="00123E7E"/>
    <w:rsid w:val="001276E5"/>
    <w:rsid w:val="00174496"/>
    <w:rsid w:val="00194F66"/>
    <w:rsid w:val="001B560D"/>
    <w:rsid w:val="001F32E3"/>
    <w:rsid w:val="002016E6"/>
    <w:rsid w:val="0021108A"/>
    <w:rsid w:val="00251F09"/>
    <w:rsid w:val="00254F9F"/>
    <w:rsid w:val="00292300"/>
    <w:rsid w:val="0029463A"/>
    <w:rsid w:val="00295885"/>
    <w:rsid w:val="002B6A22"/>
    <w:rsid w:val="002B6DDE"/>
    <w:rsid w:val="002B7BA5"/>
    <w:rsid w:val="002C3790"/>
    <w:rsid w:val="002F305E"/>
    <w:rsid w:val="0034655B"/>
    <w:rsid w:val="003501B3"/>
    <w:rsid w:val="00363999"/>
    <w:rsid w:val="00372B17"/>
    <w:rsid w:val="0037774E"/>
    <w:rsid w:val="00387211"/>
    <w:rsid w:val="003A7FE1"/>
    <w:rsid w:val="003D0E64"/>
    <w:rsid w:val="003D4243"/>
    <w:rsid w:val="003F08EA"/>
    <w:rsid w:val="003F540A"/>
    <w:rsid w:val="0045751A"/>
    <w:rsid w:val="004753DA"/>
    <w:rsid w:val="0048250B"/>
    <w:rsid w:val="004C1016"/>
    <w:rsid w:val="004D0F45"/>
    <w:rsid w:val="004F6C52"/>
    <w:rsid w:val="00516AB4"/>
    <w:rsid w:val="00553CE0"/>
    <w:rsid w:val="00586434"/>
    <w:rsid w:val="00592836"/>
    <w:rsid w:val="005A5E87"/>
    <w:rsid w:val="005B2DC6"/>
    <w:rsid w:val="005B6CD1"/>
    <w:rsid w:val="005D6CDF"/>
    <w:rsid w:val="0063238B"/>
    <w:rsid w:val="0068549F"/>
    <w:rsid w:val="006854AA"/>
    <w:rsid w:val="00696882"/>
    <w:rsid w:val="006A0B64"/>
    <w:rsid w:val="006C3C3D"/>
    <w:rsid w:val="006C5A22"/>
    <w:rsid w:val="006D4FB7"/>
    <w:rsid w:val="006E0FED"/>
    <w:rsid w:val="006F17A1"/>
    <w:rsid w:val="00720AF4"/>
    <w:rsid w:val="00724297"/>
    <w:rsid w:val="00733E51"/>
    <w:rsid w:val="00734E41"/>
    <w:rsid w:val="007812AB"/>
    <w:rsid w:val="00793351"/>
    <w:rsid w:val="007A6501"/>
    <w:rsid w:val="007C6159"/>
    <w:rsid w:val="007F08E9"/>
    <w:rsid w:val="007F3B08"/>
    <w:rsid w:val="008143F3"/>
    <w:rsid w:val="0083041A"/>
    <w:rsid w:val="00894CF9"/>
    <w:rsid w:val="008D0370"/>
    <w:rsid w:val="008D62D5"/>
    <w:rsid w:val="00977782"/>
    <w:rsid w:val="00991C7C"/>
    <w:rsid w:val="009B2D28"/>
    <w:rsid w:val="009F085F"/>
    <w:rsid w:val="009F3320"/>
    <w:rsid w:val="00A03A94"/>
    <w:rsid w:val="00A03B0F"/>
    <w:rsid w:val="00A06F0C"/>
    <w:rsid w:val="00A21FC9"/>
    <w:rsid w:val="00A32907"/>
    <w:rsid w:val="00A42F3E"/>
    <w:rsid w:val="00B06F32"/>
    <w:rsid w:val="00B07329"/>
    <w:rsid w:val="00B34244"/>
    <w:rsid w:val="00B372F2"/>
    <w:rsid w:val="00B61BCE"/>
    <w:rsid w:val="00B71EFF"/>
    <w:rsid w:val="00B85930"/>
    <w:rsid w:val="00B871A9"/>
    <w:rsid w:val="00B914E1"/>
    <w:rsid w:val="00BA45F1"/>
    <w:rsid w:val="00BA68B5"/>
    <w:rsid w:val="00BA7D52"/>
    <w:rsid w:val="00BD2392"/>
    <w:rsid w:val="00BD649A"/>
    <w:rsid w:val="00C13470"/>
    <w:rsid w:val="00C2023A"/>
    <w:rsid w:val="00C26D52"/>
    <w:rsid w:val="00C33B4E"/>
    <w:rsid w:val="00C54795"/>
    <w:rsid w:val="00C63901"/>
    <w:rsid w:val="00C81932"/>
    <w:rsid w:val="00C8197F"/>
    <w:rsid w:val="00C87ADA"/>
    <w:rsid w:val="00CA38A2"/>
    <w:rsid w:val="00CD41DD"/>
    <w:rsid w:val="00CE0FBD"/>
    <w:rsid w:val="00D71174"/>
    <w:rsid w:val="00D765EB"/>
    <w:rsid w:val="00DB0D32"/>
    <w:rsid w:val="00DE21B6"/>
    <w:rsid w:val="00DE607E"/>
    <w:rsid w:val="00E30510"/>
    <w:rsid w:val="00E32A23"/>
    <w:rsid w:val="00E35E03"/>
    <w:rsid w:val="00E56028"/>
    <w:rsid w:val="00E562E3"/>
    <w:rsid w:val="00E8077C"/>
    <w:rsid w:val="00E82C4D"/>
    <w:rsid w:val="00EA7991"/>
    <w:rsid w:val="00EB6A38"/>
    <w:rsid w:val="00EC3735"/>
    <w:rsid w:val="00EF7091"/>
    <w:rsid w:val="00F05EED"/>
    <w:rsid w:val="00F24F48"/>
    <w:rsid w:val="00F25575"/>
    <w:rsid w:val="00F70A2E"/>
    <w:rsid w:val="00FA3AA3"/>
    <w:rsid w:val="00FD38F0"/>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C9"/>
    <w:rPr>
      <w:rFonts w:ascii="Tahoma" w:hAnsi="Tahoma" w:cs="Tahoma"/>
      <w:sz w:val="16"/>
      <w:szCs w:val="16"/>
    </w:rPr>
  </w:style>
  <w:style w:type="paragraph" w:styleId="Header">
    <w:name w:val="header"/>
    <w:basedOn w:val="Normal"/>
    <w:link w:val="HeaderChar"/>
    <w:uiPriority w:val="99"/>
    <w:unhideWhenUsed/>
    <w:rsid w:val="003F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A"/>
  </w:style>
  <w:style w:type="paragraph" w:styleId="Footer">
    <w:name w:val="footer"/>
    <w:basedOn w:val="Normal"/>
    <w:link w:val="FooterChar"/>
    <w:uiPriority w:val="99"/>
    <w:unhideWhenUsed/>
    <w:rsid w:val="003F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EA"/>
  </w:style>
  <w:style w:type="character" w:styleId="CommentReference">
    <w:name w:val="annotation reference"/>
    <w:basedOn w:val="DefaultParagraphFont"/>
    <w:uiPriority w:val="99"/>
    <w:semiHidden/>
    <w:unhideWhenUsed/>
    <w:rsid w:val="006C5A22"/>
    <w:rPr>
      <w:sz w:val="16"/>
      <w:szCs w:val="16"/>
    </w:rPr>
  </w:style>
  <w:style w:type="paragraph" w:styleId="CommentText">
    <w:name w:val="annotation text"/>
    <w:basedOn w:val="Normal"/>
    <w:link w:val="CommentTextChar"/>
    <w:uiPriority w:val="99"/>
    <w:semiHidden/>
    <w:unhideWhenUsed/>
    <w:rsid w:val="006C5A22"/>
    <w:pPr>
      <w:spacing w:line="240" w:lineRule="auto"/>
    </w:pPr>
    <w:rPr>
      <w:sz w:val="20"/>
      <w:szCs w:val="20"/>
    </w:rPr>
  </w:style>
  <w:style w:type="character" w:customStyle="1" w:styleId="CommentTextChar">
    <w:name w:val="Comment Text Char"/>
    <w:basedOn w:val="DefaultParagraphFont"/>
    <w:link w:val="CommentText"/>
    <w:uiPriority w:val="99"/>
    <w:semiHidden/>
    <w:rsid w:val="006C5A22"/>
    <w:rPr>
      <w:sz w:val="20"/>
      <w:szCs w:val="20"/>
    </w:rPr>
  </w:style>
  <w:style w:type="paragraph" w:styleId="CommentSubject">
    <w:name w:val="annotation subject"/>
    <w:basedOn w:val="CommentText"/>
    <w:next w:val="CommentText"/>
    <w:link w:val="CommentSubjectChar"/>
    <w:uiPriority w:val="99"/>
    <w:semiHidden/>
    <w:unhideWhenUsed/>
    <w:rsid w:val="006C5A22"/>
    <w:rPr>
      <w:b/>
      <w:bCs/>
    </w:rPr>
  </w:style>
  <w:style w:type="character" w:customStyle="1" w:styleId="CommentSubjectChar">
    <w:name w:val="Comment Subject Char"/>
    <w:basedOn w:val="CommentTextChar"/>
    <w:link w:val="CommentSubject"/>
    <w:uiPriority w:val="99"/>
    <w:semiHidden/>
    <w:rsid w:val="006C5A22"/>
    <w:rPr>
      <w:b/>
      <w:bCs/>
      <w:sz w:val="20"/>
      <w:szCs w:val="20"/>
    </w:rPr>
  </w:style>
  <w:style w:type="paragraph" w:styleId="NormalWeb">
    <w:name w:val="Normal (Web)"/>
    <w:basedOn w:val="Normal"/>
    <w:uiPriority w:val="99"/>
    <w:semiHidden/>
    <w:unhideWhenUsed/>
    <w:rsid w:val="00894CF9"/>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A06F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C9"/>
    <w:rPr>
      <w:rFonts w:ascii="Tahoma" w:hAnsi="Tahoma" w:cs="Tahoma"/>
      <w:sz w:val="16"/>
      <w:szCs w:val="16"/>
    </w:rPr>
  </w:style>
  <w:style w:type="paragraph" w:styleId="Header">
    <w:name w:val="header"/>
    <w:basedOn w:val="Normal"/>
    <w:link w:val="HeaderChar"/>
    <w:uiPriority w:val="99"/>
    <w:unhideWhenUsed/>
    <w:rsid w:val="003F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A"/>
  </w:style>
  <w:style w:type="paragraph" w:styleId="Footer">
    <w:name w:val="footer"/>
    <w:basedOn w:val="Normal"/>
    <w:link w:val="FooterChar"/>
    <w:uiPriority w:val="99"/>
    <w:unhideWhenUsed/>
    <w:rsid w:val="003F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EA"/>
  </w:style>
  <w:style w:type="character" w:styleId="CommentReference">
    <w:name w:val="annotation reference"/>
    <w:basedOn w:val="DefaultParagraphFont"/>
    <w:uiPriority w:val="99"/>
    <w:semiHidden/>
    <w:unhideWhenUsed/>
    <w:rsid w:val="006C5A22"/>
    <w:rPr>
      <w:sz w:val="16"/>
      <w:szCs w:val="16"/>
    </w:rPr>
  </w:style>
  <w:style w:type="paragraph" w:styleId="CommentText">
    <w:name w:val="annotation text"/>
    <w:basedOn w:val="Normal"/>
    <w:link w:val="CommentTextChar"/>
    <w:uiPriority w:val="99"/>
    <w:semiHidden/>
    <w:unhideWhenUsed/>
    <w:rsid w:val="006C5A22"/>
    <w:pPr>
      <w:spacing w:line="240" w:lineRule="auto"/>
    </w:pPr>
    <w:rPr>
      <w:sz w:val="20"/>
      <w:szCs w:val="20"/>
    </w:rPr>
  </w:style>
  <w:style w:type="character" w:customStyle="1" w:styleId="CommentTextChar">
    <w:name w:val="Comment Text Char"/>
    <w:basedOn w:val="DefaultParagraphFont"/>
    <w:link w:val="CommentText"/>
    <w:uiPriority w:val="99"/>
    <w:semiHidden/>
    <w:rsid w:val="006C5A22"/>
    <w:rPr>
      <w:sz w:val="20"/>
      <w:szCs w:val="20"/>
    </w:rPr>
  </w:style>
  <w:style w:type="paragraph" w:styleId="CommentSubject">
    <w:name w:val="annotation subject"/>
    <w:basedOn w:val="CommentText"/>
    <w:next w:val="CommentText"/>
    <w:link w:val="CommentSubjectChar"/>
    <w:uiPriority w:val="99"/>
    <w:semiHidden/>
    <w:unhideWhenUsed/>
    <w:rsid w:val="006C5A22"/>
    <w:rPr>
      <w:b/>
      <w:bCs/>
    </w:rPr>
  </w:style>
  <w:style w:type="character" w:customStyle="1" w:styleId="CommentSubjectChar">
    <w:name w:val="Comment Subject Char"/>
    <w:basedOn w:val="CommentTextChar"/>
    <w:link w:val="CommentSubject"/>
    <w:uiPriority w:val="99"/>
    <w:semiHidden/>
    <w:rsid w:val="006C5A22"/>
    <w:rPr>
      <w:b/>
      <w:bCs/>
      <w:sz w:val="20"/>
      <w:szCs w:val="20"/>
    </w:rPr>
  </w:style>
  <w:style w:type="paragraph" w:styleId="NormalWeb">
    <w:name w:val="Normal (Web)"/>
    <w:basedOn w:val="Normal"/>
    <w:uiPriority w:val="99"/>
    <w:semiHidden/>
    <w:unhideWhenUsed/>
    <w:rsid w:val="00894CF9"/>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A06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National</a:t>
            </a:r>
            <a:r>
              <a:rPr lang="en-US" sz="1400" baseline="0"/>
              <a:t> IHS </a:t>
            </a:r>
            <a:r>
              <a:rPr lang="en-US" sz="1400"/>
              <a:t>Influenza Vaccine Coverage</a:t>
            </a:r>
          </a:p>
          <a:p>
            <a:pPr>
              <a:defRPr/>
            </a:pPr>
            <a:r>
              <a:rPr lang="en-US" sz="1400"/>
              <a:t>IIAS</a:t>
            </a:r>
          </a:p>
        </c:rich>
      </c:tx>
      <c:layout/>
      <c:overlay val="0"/>
    </c:title>
    <c:autoTitleDeleted val="0"/>
    <c:plotArea>
      <c:layout>
        <c:manualLayout>
          <c:layoutTarget val="inner"/>
          <c:xMode val="edge"/>
          <c:yMode val="edge"/>
          <c:x val="7.8956163088309619E-2"/>
          <c:y val="0.17870788373675514"/>
          <c:w val="0.72376730082652707"/>
          <c:h val="0.58602715401315575"/>
        </c:manualLayout>
      </c:layout>
      <c:barChart>
        <c:barDir val="col"/>
        <c:grouping val="clustered"/>
        <c:varyColors val="0"/>
        <c:ser>
          <c:idx val="0"/>
          <c:order val="0"/>
          <c:tx>
            <c:strRef>
              <c:f>Sheet1!$B$1</c:f>
              <c:strCache>
                <c:ptCount val="1"/>
                <c:pt idx="0">
                  <c:v>IIAS 2010-2011</c:v>
                </c:pt>
              </c:strCache>
            </c:strRef>
          </c:tx>
          <c:invertIfNegative val="0"/>
          <c:cat>
            <c:strRef>
              <c:f>Sheet1!$A$2:$A$5</c:f>
              <c:strCache>
                <c:ptCount val="4"/>
                <c:pt idx="0">
                  <c:v>*All (6 mnths +)</c:v>
                </c:pt>
                <c:pt idx="1">
                  <c:v>Children (6mnth - 17 yrs)</c:v>
                </c:pt>
                <c:pt idx="2">
                  <c:v>Adults (18yrs+)</c:v>
                </c:pt>
                <c:pt idx="3">
                  <c:v>65 yrs +</c:v>
                </c:pt>
              </c:strCache>
            </c:strRef>
          </c:cat>
          <c:val>
            <c:numRef>
              <c:f>Sheet1!$B$2:$B$5</c:f>
              <c:numCache>
                <c:formatCode>0.0%</c:formatCode>
                <c:ptCount val="4"/>
                <c:pt idx="0">
                  <c:v>0.32500000000000001</c:v>
                </c:pt>
                <c:pt idx="1">
                  <c:v>0.36599999999999999</c:v>
                </c:pt>
                <c:pt idx="2">
                  <c:v>0.307</c:v>
                </c:pt>
                <c:pt idx="3">
                  <c:v>0.439</c:v>
                </c:pt>
              </c:numCache>
            </c:numRef>
          </c:val>
        </c:ser>
        <c:ser>
          <c:idx val="1"/>
          <c:order val="1"/>
          <c:tx>
            <c:strRef>
              <c:f>Sheet1!$C$1</c:f>
              <c:strCache>
                <c:ptCount val="1"/>
                <c:pt idx="0">
                  <c:v>IIAS 2011-2012</c:v>
                </c:pt>
              </c:strCache>
            </c:strRef>
          </c:tx>
          <c:invertIfNegative val="0"/>
          <c:cat>
            <c:strRef>
              <c:f>Sheet1!$A$2:$A$5</c:f>
              <c:strCache>
                <c:ptCount val="4"/>
                <c:pt idx="0">
                  <c:v>*All (6 mnths +)</c:v>
                </c:pt>
                <c:pt idx="1">
                  <c:v>Children (6mnth - 17 yrs)</c:v>
                </c:pt>
                <c:pt idx="2">
                  <c:v>Adults (18yrs+)</c:v>
                </c:pt>
                <c:pt idx="3">
                  <c:v>65 yrs +</c:v>
                </c:pt>
              </c:strCache>
            </c:strRef>
          </c:cat>
          <c:val>
            <c:numRef>
              <c:f>Sheet1!$C$2:$C$5</c:f>
              <c:numCache>
                <c:formatCode>0.0%</c:formatCode>
                <c:ptCount val="4"/>
                <c:pt idx="0">
                  <c:v>0.32400000000000001</c:v>
                </c:pt>
                <c:pt idx="1">
                  <c:v>0.35899999999999999</c:v>
                </c:pt>
                <c:pt idx="2">
                  <c:v>0.309</c:v>
                </c:pt>
                <c:pt idx="3">
                  <c:v>0.437</c:v>
                </c:pt>
              </c:numCache>
            </c:numRef>
          </c:val>
        </c:ser>
        <c:ser>
          <c:idx val="2"/>
          <c:order val="2"/>
          <c:tx>
            <c:strRef>
              <c:f>Sheet1!$D$1</c:f>
              <c:strCache>
                <c:ptCount val="1"/>
                <c:pt idx="0">
                  <c:v>IIAS 2012-2013</c:v>
                </c:pt>
              </c:strCache>
            </c:strRef>
          </c:tx>
          <c:invertIfNegative val="0"/>
          <c:cat>
            <c:strRef>
              <c:f>Sheet1!$A$2:$A$5</c:f>
              <c:strCache>
                <c:ptCount val="4"/>
                <c:pt idx="0">
                  <c:v>*All (6 mnths +)</c:v>
                </c:pt>
                <c:pt idx="1">
                  <c:v>Children (6mnth - 17 yrs)</c:v>
                </c:pt>
                <c:pt idx="2">
                  <c:v>Adults (18yrs+)</c:v>
                </c:pt>
                <c:pt idx="3">
                  <c:v>65 yrs +</c:v>
                </c:pt>
              </c:strCache>
            </c:strRef>
          </c:cat>
          <c:val>
            <c:numRef>
              <c:f>Sheet1!$D$2:$D$5</c:f>
              <c:numCache>
                <c:formatCode>0.0%</c:formatCode>
                <c:ptCount val="4"/>
                <c:pt idx="0">
                  <c:v>0.38400000000000001</c:v>
                </c:pt>
                <c:pt idx="1">
                  <c:v>0.42799999999999999</c:v>
                </c:pt>
                <c:pt idx="2">
                  <c:v>0.36599999999999999</c:v>
                </c:pt>
                <c:pt idx="3">
                  <c:v>0.50800000000000001</c:v>
                </c:pt>
              </c:numCache>
            </c:numRef>
          </c:val>
        </c:ser>
        <c:ser>
          <c:idx val="3"/>
          <c:order val="3"/>
          <c:tx>
            <c:strRef>
              <c:f>Sheet1!$E$1</c:f>
              <c:strCache>
                <c:ptCount val="1"/>
                <c:pt idx="0">
                  <c:v>IIAS 2013-2014</c:v>
                </c:pt>
              </c:strCache>
            </c:strRef>
          </c:tx>
          <c:invertIfNegative val="0"/>
          <c:cat>
            <c:strRef>
              <c:f>Sheet1!$A$2:$A$5</c:f>
              <c:strCache>
                <c:ptCount val="4"/>
                <c:pt idx="0">
                  <c:v>*All (6 mnths +)</c:v>
                </c:pt>
                <c:pt idx="1">
                  <c:v>Children (6mnth - 17 yrs)</c:v>
                </c:pt>
                <c:pt idx="2">
                  <c:v>Adults (18yrs+)</c:v>
                </c:pt>
                <c:pt idx="3">
                  <c:v>65 yrs +</c:v>
                </c:pt>
              </c:strCache>
            </c:strRef>
          </c:cat>
          <c:val>
            <c:numRef>
              <c:f>Sheet1!$E$2:$E$5</c:f>
              <c:numCache>
                <c:formatCode>0.0%</c:formatCode>
                <c:ptCount val="4"/>
                <c:pt idx="0">
                  <c:v>0.36799999999999999</c:v>
                </c:pt>
                <c:pt idx="1">
                  <c:v>0.40100000000000002</c:v>
                </c:pt>
                <c:pt idx="2">
                  <c:v>0.35399999999999998</c:v>
                </c:pt>
                <c:pt idx="3">
                  <c:v>0.504</c:v>
                </c:pt>
              </c:numCache>
            </c:numRef>
          </c:val>
        </c:ser>
        <c:dLbls>
          <c:showLegendKey val="0"/>
          <c:showVal val="0"/>
          <c:showCatName val="0"/>
          <c:showSerName val="0"/>
          <c:showPercent val="0"/>
          <c:showBubbleSize val="0"/>
        </c:dLbls>
        <c:gapWidth val="150"/>
        <c:axId val="180946048"/>
        <c:axId val="180947584"/>
      </c:barChart>
      <c:catAx>
        <c:axId val="180946048"/>
        <c:scaling>
          <c:orientation val="minMax"/>
        </c:scaling>
        <c:delete val="0"/>
        <c:axPos val="b"/>
        <c:majorTickMark val="out"/>
        <c:minorTickMark val="none"/>
        <c:tickLblPos val="nextTo"/>
        <c:crossAx val="180947584"/>
        <c:crosses val="autoZero"/>
        <c:auto val="1"/>
        <c:lblAlgn val="ctr"/>
        <c:lblOffset val="100"/>
        <c:noMultiLvlLbl val="0"/>
      </c:catAx>
      <c:valAx>
        <c:axId val="180947584"/>
        <c:scaling>
          <c:orientation val="minMax"/>
          <c:max val="1"/>
          <c:min val="0"/>
        </c:scaling>
        <c:delete val="0"/>
        <c:axPos val="l"/>
        <c:majorGridlines/>
        <c:numFmt formatCode="0%" sourceLinked="0"/>
        <c:majorTickMark val="out"/>
        <c:minorTickMark val="none"/>
        <c:tickLblPos val="nextTo"/>
        <c:crossAx val="180946048"/>
        <c:crosses val="autoZero"/>
        <c:crossBetween val="between"/>
        <c:majorUnit val="0.1"/>
        <c:minorUnit val="2.0000000000000004E-2"/>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National IHS Influenza Vaccine Coverage</a:t>
            </a:r>
          </a:p>
          <a:p>
            <a:pPr>
              <a:defRPr/>
            </a:pPr>
            <a:r>
              <a:rPr lang="en-US" sz="1400"/>
              <a:t>RPMS Reports </a:t>
            </a:r>
          </a:p>
        </c:rich>
      </c:tx>
      <c:layout/>
      <c:overlay val="0"/>
    </c:title>
    <c:autoTitleDeleted val="0"/>
    <c:plotArea>
      <c:layout>
        <c:manualLayout>
          <c:layoutTarget val="inner"/>
          <c:xMode val="edge"/>
          <c:yMode val="edge"/>
          <c:x val="7.566632295963005E-2"/>
          <c:y val="0.17029810097267253"/>
          <c:w val="0.71876906011748531"/>
          <c:h val="0.49887599927871612"/>
        </c:manualLayout>
      </c:layout>
      <c:barChart>
        <c:barDir val="col"/>
        <c:grouping val="clustered"/>
        <c:varyColors val="0"/>
        <c:ser>
          <c:idx val="0"/>
          <c:order val="0"/>
          <c:tx>
            <c:strRef>
              <c:f>Sheet1!$B$1</c:f>
              <c:strCache>
                <c:ptCount val="1"/>
                <c:pt idx="0">
                  <c:v>RPMS 2010-2011</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Sheet1!$B$2:$B$6</c:f>
              <c:numCache>
                <c:formatCode>0.0%</c:formatCode>
                <c:ptCount val="5"/>
                <c:pt idx="0">
                  <c:v>0.34599999999999997</c:v>
                </c:pt>
                <c:pt idx="1">
                  <c:v>0.33900000000000002</c:v>
                </c:pt>
                <c:pt idx="2">
                  <c:v>0.34899999999999998</c:v>
                </c:pt>
                <c:pt idx="3">
                  <c:v>0.56599999999999995</c:v>
                </c:pt>
                <c:pt idx="4">
                  <c:v>0.42499999999999999</c:v>
                </c:pt>
              </c:numCache>
            </c:numRef>
          </c:val>
        </c:ser>
        <c:ser>
          <c:idx val="1"/>
          <c:order val="1"/>
          <c:tx>
            <c:strRef>
              <c:f>Sheet1!$C$1</c:f>
              <c:strCache>
                <c:ptCount val="1"/>
                <c:pt idx="0">
                  <c:v>RPMS 2011-2012</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Sheet1!$C$2:$C$6</c:f>
              <c:numCache>
                <c:formatCode>0.0%</c:formatCode>
                <c:ptCount val="5"/>
                <c:pt idx="0">
                  <c:v>0.35</c:v>
                </c:pt>
                <c:pt idx="1">
                  <c:v>0.34499999999999997</c:v>
                </c:pt>
                <c:pt idx="2">
                  <c:v>0.35199999999999998</c:v>
                </c:pt>
                <c:pt idx="3">
                  <c:v>0.57299999999999995</c:v>
                </c:pt>
                <c:pt idx="4">
                  <c:v>0.435</c:v>
                </c:pt>
              </c:numCache>
            </c:numRef>
          </c:val>
        </c:ser>
        <c:ser>
          <c:idx val="2"/>
          <c:order val="2"/>
          <c:tx>
            <c:strRef>
              <c:f>Sheet1!$D$1</c:f>
              <c:strCache>
                <c:ptCount val="1"/>
                <c:pt idx="0">
                  <c:v>RPMS 2012-2013</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Sheet1!$D$2:$D$6</c:f>
              <c:numCache>
                <c:formatCode>0.0%</c:formatCode>
                <c:ptCount val="5"/>
                <c:pt idx="0">
                  <c:v>0.37285136264210811</c:v>
                </c:pt>
                <c:pt idx="1">
                  <c:v>0.37297562571568788</c:v>
                </c:pt>
                <c:pt idx="2">
                  <c:v>0.37279405208540523</c:v>
                </c:pt>
                <c:pt idx="3">
                  <c:v>0.57999999999999996</c:v>
                </c:pt>
                <c:pt idx="4">
                  <c:v>0.44</c:v>
                </c:pt>
              </c:numCache>
            </c:numRef>
          </c:val>
        </c:ser>
        <c:ser>
          <c:idx val="3"/>
          <c:order val="3"/>
          <c:tx>
            <c:strRef>
              <c:f>Sheet1!$E$1</c:f>
              <c:strCache>
                <c:ptCount val="1"/>
                <c:pt idx="0">
                  <c:v>RPMS 2013-2014</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Sheet1!$E$2:$E$6</c:f>
              <c:numCache>
                <c:formatCode>General</c:formatCode>
                <c:ptCount val="5"/>
                <c:pt idx="0">
                  <c:v>0.38</c:v>
                </c:pt>
                <c:pt idx="1">
                  <c:v>0.38</c:v>
                </c:pt>
                <c:pt idx="2">
                  <c:v>0.38</c:v>
                </c:pt>
                <c:pt idx="3">
                  <c:v>0.61</c:v>
                </c:pt>
                <c:pt idx="4">
                  <c:v>0.44</c:v>
                </c:pt>
              </c:numCache>
            </c:numRef>
          </c:val>
        </c:ser>
        <c:dLbls>
          <c:showLegendKey val="0"/>
          <c:showVal val="0"/>
          <c:showCatName val="0"/>
          <c:showSerName val="0"/>
          <c:showPercent val="0"/>
          <c:showBubbleSize val="0"/>
        </c:dLbls>
        <c:gapWidth val="150"/>
        <c:axId val="181302400"/>
        <c:axId val="181303936"/>
      </c:barChart>
      <c:catAx>
        <c:axId val="181302400"/>
        <c:scaling>
          <c:orientation val="minMax"/>
        </c:scaling>
        <c:delete val="0"/>
        <c:axPos val="b"/>
        <c:majorTickMark val="out"/>
        <c:minorTickMark val="none"/>
        <c:tickLblPos val="nextTo"/>
        <c:txPr>
          <a:bodyPr rot="-2100000"/>
          <a:lstStyle/>
          <a:p>
            <a:pPr>
              <a:defRPr/>
            </a:pPr>
            <a:endParaRPr lang="en-US"/>
          </a:p>
        </c:txPr>
        <c:crossAx val="181303936"/>
        <c:crosses val="autoZero"/>
        <c:auto val="1"/>
        <c:lblAlgn val="ctr"/>
        <c:lblOffset val="100"/>
        <c:noMultiLvlLbl val="0"/>
      </c:catAx>
      <c:valAx>
        <c:axId val="181303936"/>
        <c:scaling>
          <c:orientation val="minMax"/>
          <c:max val="1"/>
          <c:min val="0"/>
        </c:scaling>
        <c:delete val="0"/>
        <c:axPos val="l"/>
        <c:majorGridlines/>
        <c:numFmt formatCode="0%" sourceLinked="0"/>
        <c:majorTickMark val="out"/>
        <c:minorTickMark val="none"/>
        <c:tickLblPos val="nextTo"/>
        <c:crossAx val="181302400"/>
        <c:crosses val="autoZero"/>
        <c:crossBetween val="between"/>
        <c:majorUnit val="0.1"/>
        <c:minorUnit val="2.0000000000000004E-2"/>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400"/>
              <a:t>IHS Influenza Vaccine Coverage by IHS Area</a:t>
            </a:r>
          </a:p>
          <a:p>
            <a:pPr>
              <a:defRPr/>
            </a:pPr>
            <a:r>
              <a:rPr lang="en-US" sz="1400"/>
              <a:t>RPMS Reports </a:t>
            </a:r>
          </a:p>
          <a:p>
            <a:pPr>
              <a:defRPr/>
            </a:pPr>
            <a:r>
              <a:rPr lang="en-US" sz="1400"/>
              <a:t>All Ages</a:t>
            </a:r>
          </a:p>
        </c:rich>
      </c:tx>
      <c:layout>
        <c:manualLayout>
          <c:xMode val="edge"/>
          <c:yMode val="edge"/>
          <c:x val="0.20158818228680936"/>
          <c:y val="2.0713408164404982E-2"/>
        </c:manualLayout>
      </c:layout>
      <c:overlay val="0"/>
    </c:title>
    <c:autoTitleDeleted val="0"/>
    <c:plotArea>
      <c:layout>
        <c:manualLayout>
          <c:layoutTarget val="inner"/>
          <c:xMode val="edge"/>
          <c:yMode val="edge"/>
          <c:x val="8.5962530545750745E-2"/>
          <c:y val="0.22893421566984978"/>
          <c:w val="0.7540148366870808"/>
          <c:h val="0.51799910649466685"/>
        </c:manualLayout>
      </c:layout>
      <c:barChart>
        <c:barDir val="col"/>
        <c:grouping val="clustered"/>
        <c:varyColors val="0"/>
        <c:ser>
          <c:idx val="0"/>
          <c:order val="0"/>
          <c:tx>
            <c:strRef>
              <c:f>Sheet1!$D$1</c:f>
              <c:strCache>
                <c:ptCount val="1"/>
                <c:pt idx="0">
                  <c:v>Vaccinated</c:v>
                </c:pt>
              </c:strCache>
            </c:strRef>
          </c:tx>
          <c:invertIfNegative val="0"/>
          <c:cat>
            <c:strRef>
              <c:f>Sheet1!$A$2:$A$14</c:f>
              <c:strCache>
                <c:ptCount val="13"/>
                <c:pt idx="0">
                  <c:v>Alaska</c:v>
                </c:pt>
                <c:pt idx="1">
                  <c:v>Albuquerque</c:v>
                </c:pt>
                <c:pt idx="2">
                  <c:v>Bemidji</c:v>
                </c:pt>
                <c:pt idx="3">
                  <c:v>Billings</c:v>
                </c:pt>
                <c:pt idx="4">
                  <c:v>California</c:v>
                </c:pt>
                <c:pt idx="5">
                  <c:v>Great Plains</c:v>
                </c:pt>
                <c:pt idx="6">
                  <c:v>Nashville</c:v>
                </c:pt>
                <c:pt idx="7">
                  <c:v>Navajo</c:v>
                </c:pt>
                <c:pt idx="8">
                  <c:v>Oklahoma</c:v>
                </c:pt>
                <c:pt idx="9">
                  <c:v>Phoenix</c:v>
                </c:pt>
                <c:pt idx="10">
                  <c:v>Portland</c:v>
                </c:pt>
                <c:pt idx="11">
                  <c:v>Tucson</c:v>
                </c:pt>
                <c:pt idx="12">
                  <c:v> All Areas</c:v>
                </c:pt>
              </c:strCache>
            </c:strRef>
          </c:cat>
          <c:val>
            <c:numRef>
              <c:f>Sheet1!$D$2:$D$14</c:f>
              <c:numCache>
                <c:formatCode>0.0%</c:formatCode>
                <c:ptCount val="13"/>
                <c:pt idx="0">
                  <c:v>0.32299245755710138</c:v>
                </c:pt>
                <c:pt idx="1">
                  <c:v>0.41883811416732636</c:v>
                </c:pt>
                <c:pt idx="2">
                  <c:v>0.33057097052657541</c:v>
                </c:pt>
                <c:pt idx="3">
                  <c:v>0.41499377528789294</c:v>
                </c:pt>
                <c:pt idx="4">
                  <c:v>0.26548619686890013</c:v>
                </c:pt>
                <c:pt idx="5">
                  <c:v>0.35927789959214279</c:v>
                </c:pt>
                <c:pt idx="6">
                  <c:v>0.27509728616120255</c:v>
                </c:pt>
                <c:pt idx="7">
                  <c:v>0.45900000000000002</c:v>
                </c:pt>
                <c:pt idx="8">
                  <c:v>0.36359401928361823</c:v>
                </c:pt>
                <c:pt idx="9">
                  <c:v>0.35940896295328478</c:v>
                </c:pt>
                <c:pt idx="10">
                  <c:v>0.35883538925141456</c:v>
                </c:pt>
                <c:pt idx="11">
                  <c:v>0.48861759425493717</c:v>
                </c:pt>
                <c:pt idx="12">
                  <c:v>0.37957960103110688</c:v>
                </c:pt>
              </c:numCache>
            </c:numRef>
          </c:val>
        </c:ser>
        <c:dLbls>
          <c:showLegendKey val="0"/>
          <c:showVal val="0"/>
          <c:showCatName val="0"/>
          <c:showSerName val="0"/>
          <c:showPercent val="0"/>
          <c:showBubbleSize val="0"/>
        </c:dLbls>
        <c:gapWidth val="150"/>
        <c:axId val="181336704"/>
        <c:axId val="181014912"/>
      </c:barChart>
      <c:catAx>
        <c:axId val="181336704"/>
        <c:scaling>
          <c:orientation val="minMax"/>
        </c:scaling>
        <c:delete val="0"/>
        <c:axPos val="b"/>
        <c:majorTickMark val="out"/>
        <c:minorTickMark val="none"/>
        <c:tickLblPos val="nextTo"/>
        <c:crossAx val="181014912"/>
        <c:crosses val="autoZero"/>
        <c:auto val="1"/>
        <c:lblAlgn val="ctr"/>
        <c:lblOffset val="100"/>
        <c:noMultiLvlLbl val="0"/>
      </c:catAx>
      <c:valAx>
        <c:axId val="181014912"/>
        <c:scaling>
          <c:orientation val="minMax"/>
          <c:max val="1"/>
        </c:scaling>
        <c:delete val="0"/>
        <c:axPos val="l"/>
        <c:majorGridlines/>
        <c:numFmt formatCode="0%" sourceLinked="0"/>
        <c:majorTickMark val="out"/>
        <c:minorTickMark val="none"/>
        <c:tickLblPos val="nextTo"/>
        <c:crossAx val="181336704"/>
        <c:crosses val="autoZero"/>
        <c:crossBetween val="between"/>
        <c:majorUnit val="0.1"/>
        <c:minorUnit val="2.0000000000000004E-2"/>
      </c:valAx>
    </c:plotArea>
    <c:legend>
      <c:legendPos val="r"/>
      <c:layout>
        <c:manualLayout>
          <c:xMode val="edge"/>
          <c:yMode val="edge"/>
          <c:x val="0.86489153464250701"/>
          <c:y val="0.43267654535309069"/>
          <c:w val="0.12415599405496"/>
          <c:h val="6.3282286564573131E-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Healthcare Personnel Seasonal</a:t>
            </a:r>
            <a:r>
              <a:rPr lang="en-US" sz="1400" baseline="0"/>
              <a:t> Influenza Vaccine Coverage </a:t>
            </a:r>
          </a:p>
          <a:p>
            <a:pPr>
              <a:defRPr/>
            </a:pPr>
            <a:r>
              <a:rPr lang="en-US" sz="1400" baseline="0"/>
              <a:t>2008 - 2014*</a:t>
            </a:r>
          </a:p>
        </c:rich>
      </c:tx>
      <c:layout/>
      <c:overlay val="0"/>
    </c:title>
    <c:autoTitleDeleted val="0"/>
    <c:plotArea>
      <c:layout>
        <c:manualLayout>
          <c:layoutTarget val="inner"/>
          <c:xMode val="edge"/>
          <c:yMode val="edge"/>
          <c:x val="9.2393179113480384E-2"/>
          <c:y val="0.19488846913003799"/>
          <c:w val="0.609544513457557"/>
          <c:h val="0.6485211990010683"/>
        </c:manualLayout>
      </c:layout>
      <c:lineChart>
        <c:grouping val="standard"/>
        <c:varyColors val="0"/>
        <c:ser>
          <c:idx val="0"/>
          <c:order val="0"/>
          <c:tx>
            <c:strRef>
              <c:f>Sheet1!$A$2</c:f>
              <c:strCache>
                <c:ptCount val="1"/>
                <c:pt idx="0">
                  <c:v>Vaccinated</c:v>
                </c:pt>
              </c:strCache>
            </c:strRef>
          </c:tx>
          <c:cat>
            <c:strRef>
              <c:f>Sheet1!$B$1:$G$1</c:f>
              <c:strCache>
                <c:ptCount val="6"/>
                <c:pt idx="0">
                  <c:v>2008-09</c:v>
                </c:pt>
                <c:pt idx="1">
                  <c:v>2009-10</c:v>
                </c:pt>
                <c:pt idx="2">
                  <c:v>2010-11</c:v>
                </c:pt>
                <c:pt idx="3">
                  <c:v>2011-12</c:v>
                </c:pt>
                <c:pt idx="4">
                  <c:v>2012-13</c:v>
                </c:pt>
                <c:pt idx="5">
                  <c:v>2013-14</c:v>
                </c:pt>
              </c:strCache>
            </c:strRef>
          </c:cat>
          <c:val>
            <c:numRef>
              <c:f>Sheet1!$B$2:$G$2</c:f>
              <c:numCache>
                <c:formatCode>0.0%</c:formatCode>
                <c:ptCount val="6"/>
                <c:pt idx="0">
                  <c:v>0.71299999999999997</c:v>
                </c:pt>
                <c:pt idx="1">
                  <c:v>0.749</c:v>
                </c:pt>
                <c:pt idx="2">
                  <c:v>0.72399999999999998</c:v>
                </c:pt>
                <c:pt idx="3">
                  <c:v>0.753</c:v>
                </c:pt>
                <c:pt idx="4">
                  <c:v>0.76900000000000002</c:v>
                </c:pt>
                <c:pt idx="5">
                  <c:v>0.78400000000000003</c:v>
                </c:pt>
              </c:numCache>
            </c:numRef>
          </c:val>
          <c:smooth val="0"/>
        </c:ser>
        <c:ser>
          <c:idx val="1"/>
          <c:order val="1"/>
          <c:tx>
            <c:strRef>
              <c:f>Sheet1!$A$3</c:f>
              <c:strCache>
                <c:ptCount val="1"/>
                <c:pt idx="0">
                  <c:v>Medical Contraindication</c:v>
                </c:pt>
              </c:strCache>
            </c:strRef>
          </c:tx>
          <c:cat>
            <c:strRef>
              <c:f>Sheet1!$B$1:$G$1</c:f>
              <c:strCache>
                <c:ptCount val="6"/>
                <c:pt idx="0">
                  <c:v>2008-09</c:v>
                </c:pt>
                <c:pt idx="1">
                  <c:v>2009-10</c:v>
                </c:pt>
                <c:pt idx="2">
                  <c:v>2010-11</c:v>
                </c:pt>
                <c:pt idx="3">
                  <c:v>2011-12</c:v>
                </c:pt>
                <c:pt idx="4">
                  <c:v>2012-13</c:v>
                </c:pt>
                <c:pt idx="5">
                  <c:v>2013-14</c:v>
                </c:pt>
              </c:strCache>
            </c:strRef>
          </c:cat>
          <c:val>
            <c:numRef>
              <c:f>Sheet1!$B$3:$G$3</c:f>
              <c:numCache>
                <c:formatCode>0.0%</c:formatCode>
                <c:ptCount val="6"/>
                <c:pt idx="1">
                  <c:v>0.01</c:v>
                </c:pt>
                <c:pt idx="2">
                  <c:v>1.4E-2</c:v>
                </c:pt>
                <c:pt idx="3">
                  <c:v>1.0999999999999999E-2</c:v>
                </c:pt>
                <c:pt idx="4">
                  <c:v>8.0000000000000002E-3</c:v>
                </c:pt>
                <c:pt idx="5">
                  <c:v>8.0000000000000002E-3</c:v>
                </c:pt>
              </c:numCache>
            </c:numRef>
          </c:val>
          <c:smooth val="0"/>
        </c:ser>
        <c:ser>
          <c:idx val="2"/>
          <c:order val="2"/>
          <c:tx>
            <c:strRef>
              <c:f>Sheet1!$A$4</c:f>
              <c:strCache>
                <c:ptCount val="1"/>
                <c:pt idx="0">
                  <c:v>Refused</c:v>
                </c:pt>
              </c:strCache>
            </c:strRef>
          </c:tx>
          <c:cat>
            <c:strRef>
              <c:f>Sheet1!$B$1:$G$1</c:f>
              <c:strCache>
                <c:ptCount val="6"/>
                <c:pt idx="0">
                  <c:v>2008-09</c:v>
                </c:pt>
                <c:pt idx="1">
                  <c:v>2009-10</c:v>
                </c:pt>
                <c:pt idx="2">
                  <c:v>2010-11</c:v>
                </c:pt>
                <c:pt idx="3">
                  <c:v>2011-12</c:v>
                </c:pt>
                <c:pt idx="4">
                  <c:v>2012-13</c:v>
                </c:pt>
                <c:pt idx="5">
                  <c:v>2013-14</c:v>
                </c:pt>
              </c:strCache>
            </c:strRef>
          </c:cat>
          <c:val>
            <c:numRef>
              <c:f>Sheet1!$B$4:$G$4</c:f>
              <c:numCache>
                <c:formatCode>0.0%</c:formatCode>
                <c:ptCount val="6"/>
                <c:pt idx="1">
                  <c:v>0.11700000000000001</c:v>
                </c:pt>
                <c:pt idx="2">
                  <c:v>0.13900000000000001</c:v>
                </c:pt>
                <c:pt idx="3">
                  <c:v>0.12</c:v>
                </c:pt>
                <c:pt idx="4">
                  <c:v>0.10299999999999999</c:v>
                </c:pt>
                <c:pt idx="5">
                  <c:v>0.1</c:v>
                </c:pt>
              </c:numCache>
            </c:numRef>
          </c:val>
          <c:smooth val="0"/>
        </c:ser>
        <c:ser>
          <c:idx val="3"/>
          <c:order val="3"/>
          <c:tx>
            <c:strRef>
              <c:f>Sheet1!$A$5</c:f>
              <c:strCache>
                <c:ptCount val="1"/>
                <c:pt idx="0">
                  <c:v>Unknown</c:v>
                </c:pt>
              </c:strCache>
            </c:strRef>
          </c:tx>
          <c:cat>
            <c:strRef>
              <c:f>Sheet1!$B$1:$G$1</c:f>
              <c:strCache>
                <c:ptCount val="6"/>
                <c:pt idx="0">
                  <c:v>2008-09</c:v>
                </c:pt>
                <c:pt idx="1">
                  <c:v>2009-10</c:v>
                </c:pt>
                <c:pt idx="2">
                  <c:v>2010-11</c:v>
                </c:pt>
                <c:pt idx="3">
                  <c:v>2011-12</c:v>
                </c:pt>
                <c:pt idx="4">
                  <c:v>2012-13</c:v>
                </c:pt>
                <c:pt idx="5">
                  <c:v>2013-14</c:v>
                </c:pt>
              </c:strCache>
            </c:strRef>
          </c:cat>
          <c:val>
            <c:numRef>
              <c:f>Sheet1!$B$5:$G$5</c:f>
            </c:numRef>
          </c:val>
          <c:smooth val="0"/>
        </c:ser>
        <c:dLbls>
          <c:showLegendKey val="0"/>
          <c:showVal val="0"/>
          <c:showCatName val="0"/>
          <c:showSerName val="0"/>
          <c:showPercent val="0"/>
          <c:showBubbleSize val="0"/>
        </c:dLbls>
        <c:marker val="1"/>
        <c:smooth val="0"/>
        <c:axId val="181080064"/>
        <c:axId val="181081600"/>
      </c:lineChart>
      <c:catAx>
        <c:axId val="181080064"/>
        <c:scaling>
          <c:orientation val="minMax"/>
        </c:scaling>
        <c:delete val="0"/>
        <c:axPos val="b"/>
        <c:majorTickMark val="none"/>
        <c:minorTickMark val="none"/>
        <c:tickLblPos val="nextTo"/>
        <c:crossAx val="181081600"/>
        <c:crosses val="autoZero"/>
        <c:auto val="1"/>
        <c:lblAlgn val="ctr"/>
        <c:lblOffset val="100"/>
        <c:noMultiLvlLbl val="0"/>
      </c:catAx>
      <c:valAx>
        <c:axId val="181081600"/>
        <c:scaling>
          <c:orientation val="minMax"/>
          <c:max val="1"/>
          <c:min val="0"/>
        </c:scaling>
        <c:delete val="0"/>
        <c:axPos val="l"/>
        <c:majorGridlines/>
        <c:numFmt formatCode="0%" sourceLinked="0"/>
        <c:majorTickMark val="none"/>
        <c:minorTickMark val="none"/>
        <c:tickLblPos val="nextTo"/>
        <c:crossAx val="181080064"/>
        <c:crosses val="autoZero"/>
        <c:crossBetween val="between"/>
        <c:majorUnit val="0.1"/>
        <c:minorUnit val="2.0000000000000004E-2"/>
      </c:valAx>
    </c:plotArea>
    <c:legend>
      <c:legendPos val="r"/>
      <c:layout>
        <c:manualLayout>
          <c:xMode val="edge"/>
          <c:yMode val="edge"/>
          <c:x val="0.72581666422132018"/>
          <c:y val="0.40104449207999943"/>
          <c:w val="0.27418333577867982"/>
          <c:h val="0.19496402572319971"/>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0.56822</cdr:x>
      <cdr:y>0.91755</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610001" y="3286114"/>
          <a:ext cx="2743174" cy="295286"/>
        </a:xfrm>
        <a:prstGeom xmlns:a="http://schemas.openxmlformats.org/drawingml/2006/main" prst="rect">
          <a:avLst/>
        </a:prstGeom>
        <a:noFill xmlns:a="http://schemas.openxmlformats.org/drawingml/2006/main"/>
        <a:ln xmlns:a="http://schemas.openxmlformats.org/drawingml/2006/main" w="0">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N = 831,924. Based on Active Clinical Users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875</Words>
  <Characters>4919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Influenza Vaccine Coverage Report</vt:lpstr>
    </vt:vector>
  </TitlesOfParts>
  <Manager>IHS Immunization Program</Manager>
  <Company>IHS</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Coverage Report</dc:title>
  <dc:subject>2012-2012 Influenza Vaccine Coverage Report</dc:subject>
  <dc:creator>IHS Immunization Program</dc:creator>
  <cp:keywords>IHS, Flu, vaccine, coverage</cp:keywords>
  <cp:lastModifiedBy>Bennett</cp:lastModifiedBy>
  <cp:revision>3</cp:revision>
  <cp:lastPrinted>2012-06-27T21:58:00Z</cp:lastPrinted>
  <dcterms:created xsi:type="dcterms:W3CDTF">2014-10-02T21:56:00Z</dcterms:created>
  <dcterms:modified xsi:type="dcterms:W3CDTF">2014-10-02T22:04:00Z</dcterms:modified>
</cp:coreProperties>
</file>