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4C" w:rsidRPr="00565247" w:rsidRDefault="003F5631">
      <w:pPr>
        <w:pStyle w:val="BodyText"/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t xml:space="preserve">Influenza Vaccination Coverage among HealthCare Personnel (HCP) in </w:t>
      </w:r>
    </w:p>
    <w:p w:rsidR="003F5631" w:rsidRPr="00565247" w:rsidRDefault="003F5631">
      <w:pPr>
        <w:pStyle w:val="BodyText"/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t>IHS, Tribal and Urban Indian Facilities</w:t>
      </w:r>
    </w:p>
    <w:p w:rsidR="003F5631" w:rsidRPr="00565247" w:rsidRDefault="003F5631">
      <w:pPr>
        <w:rPr>
          <w:rFonts w:ascii="Arial" w:hAnsi="Arial" w:cs="Arial"/>
          <w:sz w:val="22"/>
          <w:szCs w:val="22"/>
        </w:rPr>
      </w:pPr>
    </w:p>
    <w:p w:rsidR="009874F1" w:rsidRPr="00565247" w:rsidRDefault="009874F1">
      <w:pPr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t xml:space="preserve">As part of the </w:t>
      </w:r>
      <w:r w:rsidR="003F5631" w:rsidRPr="00565247">
        <w:rPr>
          <w:rFonts w:ascii="Arial" w:hAnsi="Arial" w:cs="Arial"/>
          <w:sz w:val="22"/>
          <w:szCs w:val="22"/>
        </w:rPr>
        <w:t>Department of Health and Human Services initiative to improve influ</w:t>
      </w:r>
      <w:r w:rsidR="00DC1FCC" w:rsidRPr="00565247">
        <w:rPr>
          <w:rFonts w:ascii="Arial" w:hAnsi="Arial" w:cs="Arial"/>
          <w:sz w:val="22"/>
          <w:szCs w:val="22"/>
        </w:rPr>
        <w:t>enza vaccination coverage among healthcare personnel (HCP</w:t>
      </w:r>
      <w:r w:rsidR="00565247" w:rsidRPr="00565247">
        <w:rPr>
          <w:rFonts w:ascii="Arial" w:hAnsi="Arial" w:cs="Arial"/>
          <w:sz w:val="22"/>
          <w:szCs w:val="22"/>
        </w:rPr>
        <w:t>),</w:t>
      </w:r>
      <w:r w:rsidR="006648B2" w:rsidRPr="00565247">
        <w:rPr>
          <w:rFonts w:ascii="Arial" w:hAnsi="Arial" w:cs="Arial"/>
          <w:sz w:val="22"/>
          <w:szCs w:val="22"/>
        </w:rPr>
        <w:t xml:space="preserve"> </w:t>
      </w:r>
      <w:r w:rsidRPr="00565247">
        <w:rPr>
          <w:rFonts w:ascii="Arial" w:hAnsi="Arial" w:cs="Arial"/>
          <w:sz w:val="22"/>
          <w:szCs w:val="22"/>
        </w:rPr>
        <w:t>IHS has collected data on influenza coverage levels among HCP at all IHS and many tribal and urban health care facilities</w:t>
      </w:r>
      <w:r w:rsidR="001F264A" w:rsidRPr="00565247">
        <w:rPr>
          <w:rFonts w:ascii="Arial" w:hAnsi="Arial" w:cs="Arial"/>
          <w:sz w:val="22"/>
          <w:szCs w:val="22"/>
        </w:rPr>
        <w:t xml:space="preserve"> for the last </w:t>
      </w:r>
      <w:r w:rsidR="00562B8E" w:rsidRPr="00565247">
        <w:rPr>
          <w:rFonts w:ascii="Arial" w:hAnsi="Arial" w:cs="Arial"/>
          <w:sz w:val="22"/>
          <w:szCs w:val="22"/>
        </w:rPr>
        <w:t>4</w:t>
      </w:r>
      <w:r w:rsidR="00FA7195" w:rsidRPr="00565247">
        <w:rPr>
          <w:rFonts w:ascii="Arial" w:hAnsi="Arial" w:cs="Arial"/>
          <w:sz w:val="22"/>
          <w:szCs w:val="22"/>
        </w:rPr>
        <w:t xml:space="preserve"> </w:t>
      </w:r>
      <w:r w:rsidR="001F264A" w:rsidRPr="00565247">
        <w:rPr>
          <w:rFonts w:ascii="Arial" w:hAnsi="Arial" w:cs="Arial"/>
          <w:sz w:val="22"/>
          <w:szCs w:val="22"/>
        </w:rPr>
        <w:t>influenza seasons</w:t>
      </w:r>
      <w:r w:rsidRPr="00565247">
        <w:rPr>
          <w:rFonts w:ascii="Arial" w:hAnsi="Arial" w:cs="Arial"/>
          <w:sz w:val="22"/>
          <w:szCs w:val="22"/>
        </w:rPr>
        <w:t xml:space="preserve">. </w:t>
      </w:r>
      <w:r w:rsidR="001F264A" w:rsidRPr="00565247">
        <w:rPr>
          <w:rFonts w:ascii="Arial" w:hAnsi="Arial" w:cs="Arial"/>
          <w:sz w:val="22"/>
          <w:szCs w:val="22"/>
        </w:rPr>
        <w:t>The definition of HCP includes</w:t>
      </w:r>
      <w:r w:rsidR="003F5631" w:rsidRPr="00565247">
        <w:rPr>
          <w:rFonts w:ascii="Arial" w:hAnsi="Arial" w:cs="Arial"/>
          <w:sz w:val="22"/>
          <w:szCs w:val="22"/>
        </w:rPr>
        <w:t xml:space="preserve"> </w:t>
      </w:r>
      <w:r w:rsidR="003F5631" w:rsidRPr="00565247">
        <w:rPr>
          <w:rFonts w:ascii="Arial" w:hAnsi="Arial" w:cs="Arial"/>
          <w:b/>
          <w:sz w:val="22"/>
          <w:szCs w:val="22"/>
        </w:rPr>
        <w:t xml:space="preserve">all </w:t>
      </w:r>
      <w:r w:rsidR="003F5631" w:rsidRPr="00565247">
        <w:rPr>
          <w:rFonts w:ascii="Arial" w:hAnsi="Arial" w:cs="Arial"/>
          <w:sz w:val="22"/>
          <w:szCs w:val="22"/>
        </w:rPr>
        <w:t xml:space="preserve">personnel who work in a health care facility – meaning personnel with direct patient contact as well as housekeeping, food service workers, data entry clerks, administrators, etc.  </w:t>
      </w:r>
    </w:p>
    <w:p w:rsidR="009874F1" w:rsidRPr="00565247" w:rsidRDefault="009874F1">
      <w:pPr>
        <w:rPr>
          <w:rFonts w:ascii="Arial" w:hAnsi="Arial" w:cs="Arial"/>
          <w:sz w:val="22"/>
          <w:szCs w:val="22"/>
        </w:rPr>
      </w:pPr>
    </w:p>
    <w:p w:rsidR="003F5631" w:rsidRPr="00565247" w:rsidRDefault="009874F1">
      <w:pPr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t xml:space="preserve">Results </w:t>
      </w:r>
      <w:r w:rsidR="00C8387C" w:rsidRPr="00565247">
        <w:rPr>
          <w:rFonts w:ascii="Arial" w:hAnsi="Arial" w:cs="Arial"/>
          <w:sz w:val="22"/>
          <w:szCs w:val="22"/>
        </w:rPr>
        <w:t>for the 2011-2012</w:t>
      </w:r>
      <w:r w:rsidR="00FA7195" w:rsidRPr="00565247">
        <w:rPr>
          <w:rFonts w:ascii="Arial" w:hAnsi="Arial" w:cs="Arial"/>
          <w:sz w:val="22"/>
          <w:szCs w:val="22"/>
        </w:rPr>
        <w:t xml:space="preserve"> influenza </w:t>
      </w:r>
      <w:proofErr w:type="gramStart"/>
      <w:r w:rsidR="00FA7195" w:rsidRPr="00565247">
        <w:rPr>
          <w:rFonts w:ascii="Arial" w:hAnsi="Arial" w:cs="Arial"/>
          <w:sz w:val="22"/>
          <w:szCs w:val="22"/>
        </w:rPr>
        <w:t>season</w:t>
      </w:r>
      <w:proofErr w:type="gramEnd"/>
      <w:r w:rsidR="00FA7195" w:rsidRPr="00565247">
        <w:rPr>
          <w:rFonts w:ascii="Arial" w:hAnsi="Arial" w:cs="Arial"/>
          <w:sz w:val="22"/>
          <w:szCs w:val="22"/>
        </w:rPr>
        <w:t xml:space="preserve"> </w:t>
      </w:r>
      <w:r w:rsidRPr="00565247">
        <w:rPr>
          <w:rFonts w:ascii="Arial" w:hAnsi="Arial" w:cs="Arial"/>
          <w:sz w:val="22"/>
          <w:szCs w:val="22"/>
        </w:rPr>
        <w:t>as of March 31</w:t>
      </w:r>
      <w:r w:rsidRPr="00565247">
        <w:rPr>
          <w:rFonts w:ascii="Arial" w:hAnsi="Arial" w:cs="Arial"/>
          <w:sz w:val="22"/>
          <w:szCs w:val="22"/>
          <w:vertAlign w:val="superscript"/>
        </w:rPr>
        <w:t>st</w:t>
      </w:r>
      <w:r w:rsidRPr="00565247">
        <w:rPr>
          <w:rFonts w:ascii="Arial" w:hAnsi="Arial" w:cs="Arial"/>
          <w:sz w:val="22"/>
          <w:szCs w:val="22"/>
        </w:rPr>
        <w:t>, 201</w:t>
      </w:r>
      <w:r w:rsidR="00C8387C" w:rsidRPr="00565247">
        <w:rPr>
          <w:rFonts w:ascii="Arial" w:hAnsi="Arial" w:cs="Arial"/>
          <w:sz w:val="22"/>
          <w:szCs w:val="22"/>
        </w:rPr>
        <w:t>2</w:t>
      </w:r>
      <w:r w:rsidRPr="00565247">
        <w:rPr>
          <w:rFonts w:ascii="Arial" w:hAnsi="Arial" w:cs="Arial"/>
          <w:sz w:val="22"/>
          <w:szCs w:val="22"/>
        </w:rPr>
        <w:t xml:space="preserve"> are included below</w:t>
      </w:r>
      <w:r w:rsidR="001F264A" w:rsidRPr="00565247">
        <w:rPr>
          <w:rFonts w:ascii="Arial" w:hAnsi="Arial" w:cs="Arial"/>
          <w:sz w:val="22"/>
          <w:szCs w:val="22"/>
        </w:rPr>
        <w:t xml:space="preserve">. Aggregate data can also be viewed in the Report section of the National Immunization Reporting System (NIRS) </w:t>
      </w:r>
      <w:r w:rsidR="00DB7465" w:rsidRPr="00565247">
        <w:rPr>
          <w:rFonts w:ascii="Arial" w:hAnsi="Arial" w:cs="Arial"/>
          <w:sz w:val="22"/>
          <w:szCs w:val="22"/>
        </w:rPr>
        <w:t>web</w:t>
      </w:r>
      <w:r w:rsidR="001F264A" w:rsidRPr="00565247">
        <w:rPr>
          <w:rFonts w:ascii="Arial" w:hAnsi="Arial" w:cs="Arial"/>
          <w:sz w:val="22"/>
          <w:szCs w:val="22"/>
        </w:rPr>
        <w:t xml:space="preserve">site: </w:t>
      </w:r>
      <w:hyperlink r:id="rId8" w:history="1">
        <w:r w:rsidR="001F264A" w:rsidRPr="00565247">
          <w:rPr>
            <w:rStyle w:val="Hyperlink"/>
            <w:rFonts w:ascii="Arial" w:hAnsi="Arial" w:cs="Arial"/>
            <w:sz w:val="22"/>
            <w:szCs w:val="22"/>
          </w:rPr>
          <w:t>http://www.ihpes.ihs.gov/immunizations/index.cfm?module=immunizations&amp;option=reports</w:t>
        </w:r>
      </w:hyperlink>
    </w:p>
    <w:p w:rsidR="001F264A" w:rsidRPr="00565247" w:rsidRDefault="001F264A">
      <w:pPr>
        <w:rPr>
          <w:rFonts w:ascii="Arial" w:hAnsi="Arial" w:cs="Arial"/>
          <w:sz w:val="22"/>
          <w:szCs w:val="22"/>
        </w:rPr>
      </w:pPr>
    </w:p>
    <w:p w:rsidR="003F5631" w:rsidRPr="00565247" w:rsidRDefault="003F5631">
      <w:pPr>
        <w:rPr>
          <w:rFonts w:ascii="Arial" w:hAnsi="Arial" w:cs="Arial"/>
          <w:sz w:val="22"/>
          <w:szCs w:val="22"/>
        </w:rPr>
      </w:pPr>
    </w:p>
    <w:p w:rsidR="00805FE8" w:rsidRPr="00565247" w:rsidRDefault="00805FE8" w:rsidP="00881C73">
      <w:pPr>
        <w:jc w:val="center"/>
        <w:rPr>
          <w:rFonts w:ascii="Arial" w:hAnsi="Arial" w:cs="Arial"/>
          <w:b/>
          <w:sz w:val="22"/>
          <w:szCs w:val="22"/>
        </w:rPr>
      </w:pPr>
      <w:r w:rsidRPr="00565247">
        <w:rPr>
          <w:rFonts w:ascii="Arial" w:hAnsi="Arial" w:cs="Arial"/>
          <w:b/>
          <w:sz w:val="22"/>
          <w:szCs w:val="22"/>
        </w:rPr>
        <w:t>SEASONAL INFLUENZA VACCINATION</w:t>
      </w:r>
    </w:p>
    <w:p w:rsidR="00805FE8" w:rsidRPr="00565247" w:rsidRDefault="00805FE8">
      <w:pPr>
        <w:rPr>
          <w:rFonts w:ascii="Arial" w:hAnsi="Arial" w:cs="Arial"/>
          <w:sz w:val="22"/>
          <w:szCs w:val="22"/>
        </w:rPr>
      </w:pPr>
    </w:p>
    <w:p w:rsidR="00F74F7C" w:rsidRPr="00565247" w:rsidRDefault="00F74F7C" w:rsidP="00F74F7C">
      <w:pPr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t>All 12 IHS Areas submitted reports, representing 1</w:t>
      </w:r>
      <w:r w:rsidR="00C8387C" w:rsidRPr="00565247">
        <w:rPr>
          <w:rFonts w:ascii="Arial" w:hAnsi="Arial" w:cs="Arial"/>
          <w:sz w:val="22"/>
          <w:szCs w:val="22"/>
        </w:rPr>
        <w:t xml:space="preserve">70 facilities and 29,132 </w:t>
      </w:r>
      <w:r w:rsidRPr="00565247">
        <w:rPr>
          <w:rFonts w:ascii="Arial" w:hAnsi="Arial" w:cs="Arial"/>
          <w:sz w:val="22"/>
          <w:szCs w:val="22"/>
        </w:rPr>
        <w:t>HCP. A breakdown of coverage by facility type is included in Table 1. Figure 1 de</w:t>
      </w:r>
      <w:r w:rsidR="00FA7195" w:rsidRPr="00565247">
        <w:rPr>
          <w:rFonts w:ascii="Arial" w:hAnsi="Arial" w:cs="Arial"/>
          <w:sz w:val="22"/>
          <w:szCs w:val="22"/>
        </w:rPr>
        <w:t xml:space="preserve">picts coverage data for the </w:t>
      </w:r>
      <w:r w:rsidR="00032778" w:rsidRPr="00565247">
        <w:rPr>
          <w:rFonts w:ascii="Arial" w:hAnsi="Arial" w:cs="Arial"/>
          <w:sz w:val="22"/>
          <w:szCs w:val="22"/>
        </w:rPr>
        <w:t>2008- 2012</w:t>
      </w:r>
      <w:r w:rsidRPr="00565247">
        <w:rPr>
          <w:rFonts w:ascii="Arial" w:hAnsi="Arial" w:cs="Arial"/>
          <w:sz w:val="22"/>
          <w:szCs w:val="22"/>
        </w:rPr>
        <w:t xml:space="preserve"> influenza seasons </w:t>
      </w:r>
      <w:r w:rsidR="002D076A">
        <w:rPr>
          <w:rFonts w:ascii="Arial" w:hAnsi="Arial" w:cs="Arial"/>
          <w:sz w:val="22"/>
          <w:szCs w:val="22"/>
        </w:rPr>
        <w:t>for all IHS Areas; F</w:t>
      </w:r>
      <w:r w:rsidR="00FA7195" w:rsidRPr="00565247">
        <w:rPr>
          <w:rFonts w:ascii="Arial" w:hAnsi="Arial" w:cs="Arial"/>
          <w:sz w:val="22"/>
          <w:szCs w:val="22"/>
        </w:rPr>
        <w:t>igure 2 provides a breakdown of coverage by IHS Area.</w:t>
      </w:r>
      <w:r w:rsidRPr="00565247">
        <w:rPr>
          <w:rFonts w:ascii="Arial" w:hAnsi="Arial" w:cs="Arial"/>
          <w:sz w:val="22"/>
          <w:szCs w:val="22"/>
        </w:rPr>
        <w:t xml:space="preserve">  Table 2 contains 201</w:t>
      </w:r>
      <w:r w:rsidR="00032778" w:rsidRPr="00565247">
        <w:rPr>
          <w:rFonts w:ascii="Arial" w:hAnsi="Arial" w:cs="Arial"/>
          <w:sz w:val="22"/>
          <w:szCs w:val="22"/>
        </w:rPr>
        <w:t>2</w:t>
      </w:r>
      <w:r w:rsidRPr="00565247">
        <w:rPr>
          <w:rFonts w:ascii="Arial" w:hAnsi="Arial" w:cs="Arial"/>
          <w:sz w:val="22"/>
          <w:szCs w:val="22"/>
        </w:rPr>
        <w:t xml:space="preserve"> coverage data by IHS area. </w:t>
      </w:r>
    </w:p>
    <w:p w:rsidR="003F5631" w:rsidRPr="00565247" w:rsidRDefault="003F5631">
      <w:pPr>
        <w:rPr>
          <w:rFonts w:ascii="Arial" w:hAnsi="Arial" w:cs="Arial"/>
          <w:sz w:val="22"/>
          <w:szCs w:val="22"/>
        </w:rPr>
      </w:pPr>
    </w:p>
    <w:p w:rsidR="003F5631" w:rsidRPr="00565247" w:rsidRDefault="003F5631">
      <w:pPr>
        <w:rPr>
          <w:rFonts w:ascii="Arial" w:hAnsi="Arial" w:cs="Arial"/>
          <w:b/>
          <w:sz w:val="22"/>
          <w:szCs w:val="22"/>
        </w:rPr>
      </w:pPr>
      <w:r w:rsidRPr="00565247">
        <w:rPr>
          <w:rFonts w:ascii="Arial" w:hAnsi="Arial" w:cs="Arial"/>
          <w:b/>
          <w:sz w:val="22"/>
          <w:szCs w:val="22"/>
        </w:rPr>
        <w:t>Table 1</w:t>
      </w:r>
      <w:r w:rsidR="00432CF2" w:rsidRPr="00565247">
        <w:rPr>
          <w:rFonts w:ascii="Arial" w:hAnsi="Arial" w:cs="Arial"/>
          <w:b/>
          <w:sz w:val="22"/>
          <w:szCs w:val="22"/>
        </w:rPr>
        <w:t>: 201</w:t>
      </w:r>
      <w:r w:rsidR="00F74F7C" w:rsidRPr="00565247">
        <w:rPr>
          <w:rFonts w:ascii="Arial" w:hAnsi="Arial" w:cs="Arial"/>
          <w:b/>
          <w:sz w:val="22"/>
          <w:szCs w:val="22"/>
        </w:rPr>
        <w:t>1</w:t>
      </w:r>
      <w:r w:rsidR="00CC6968">
        <w:rPr>
          <w:rFonts w:ascii="Arial" w:hAnsi="Arial" w:cs="Arial"/>
          <w:b/>
          <w:sz w:val="22"/>
          <w:szCs w:val="22"/>
        </w:rPr>
        <w:t>-2012</w:t>
      </w:r>
      <w:r w:rsidR="00432CF2" w:rsidRPr="00565247">
        <w:rPr>
          <w:rFonts w:ascii="Arial" w:hAnsi="Arial" w:cs="Arial"/>
          <w:b/>
          <w:sz w:val="22"/>
          <w:szCs w:val="22"/>
        </w:rPr>
        <w:t xml:space="preserve"> HCP Seasonal Influenza Coverage by Facil</w:t>
      </w:r>
      <w:r w:rsidR="00B125DA" w:rsidRPr="00565247">
        <w:rPr>
          <w:rFonts w:ascii="Arial" w:hAnsi="Arial" w:cs="Arial"/>
          <w:b/>
          <w:sz w:val="22"/>
          <w:szCs w:val="22"/>
        </w:rPr>
        <w:t>i</w:t>
      </w:r>
      <w:r w:rsidR="00274512" w:rsidRPr="00565247">
        <w:rPr>
          <w:rFonts w:ascii="Arial" w:hAnsi="Arial" w:cs="Arial"/>
          <w:b/>
          <w:sz w:val="22"/>
          <w:szCs w:val="22"/>
        </w:rPr>
        <w:t>ty Type</w:t>
      </w:r>
      <w:r w:rsidR="00432CF2" w:rsidRPr="00565247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260"/>
        <w:gridCol w:w="1440"/>
        <w:gridCol w:w="1980"/>
        <w:gridCol w:w="1170"/>
        <w:gridCol w:w="1259"/>
      </w:tblGrid>
      <w:tr w:rsidR="00D13252" w:rsidRPr="00565247" w:rsidTr="00565247">
        <w:tc>
          <w:tcPr>
            <w:tcW w:w="1188" w:type="dxa"/>
          </w:tcPr>
          <w:p w:rsidR="007722E3" w:rsidRPr="00565247" w:rsidRDefault="007722E3" w:rsidP="00D13252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:rsidR="00D13252" w:rsidRPr="00565247" w:rsidRDefault="007722E3" w:rsidP="006072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 xml:space="preserve">Number </w:t>
            </w:r>
          </w:p>
          <w:p w:rsidR="007722E3" w:rsidRPr="00565247" w:rsidRDefault="007722E3" w:rsidP="00D13252">
            <w:pPr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of facilities</w:t>
            </w:r>
          </w:p>
        </w:tc>
        <w:tc>
          <w:tcPr>
            <w:tcW w:w="1260" w:type="dxa"/>
          </w:tcPr>
          <w:p w:rsidR="007722E3" w:rsidRPr="00565247" w:rsidRDefault="007722E3" w:rsidP="006072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Number of HCP</w:t>
            </w:r>
          </w:p>
        </w:tc>
        <w:tc>
          <w:tcPr>
            <w:tcW w:w="1440" w:type="dxa"/>
          </w:tcPr>
          <w:p w:rsidR="007722E3" w:rsidRPr="00565247" w:rsidRDefault="007722E3" w:rsidP="006072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% Vaccinated</w:t>
            </w:r>
          </w:p>
        </w:tc>
        <w:tc>
          <w:tcPr>
            <w:tcW w:w="1980" w:type="dxa"/>
          </w:tcPr>
          <w:p w:rsidR="007722E3" w:rsidRPr="00565247" w:rsidRDefault="007722E3" w:rsidP="00D13252">
            <w:pPr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% Medical Contraindications</w:t>
            </w:r>
          </w:p>
        </w:tc>
        <w:tc>
          <w:tcPr>
            <w:tcW w:w="1170" w:type="dxa"/>
          </w:tcPr>
          <w:p w:rsidR="007722E3" w:rsidRPr="00565247" w:rsidRDefault="007722E3" w:rsidP="006072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% Refused</w:t>
            </w:r>
          </w:p>
        </w:tc>
        <w:tc>
          <w:tcPr>
            <w:tcW w:w="1259" w:type="dxa"/>
          </w:tcPr>
          <w:p w:rsidR="007722E3" w:rsidRPr="00565247" w:rsidRDefault="007722E3" w:rsidP="0060722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% Unknown</w:t>
            </w:r>
          </w:p>
        </w:tc>
      </w:tr>
      <w:tr w:rsidR="00D13252" w:rsidRPr="00565247" w:rsidTr="00565247">
        <w:tc>
          <w:tcPr>
            <w:tcW w:w="1188" w:type="dxa"/>
          </w:tcPr>
          <w:p w:rsidR="007722E3" w:rsidRPr="00565247" w:rsidRDefault="007722E3">
            <w:pPr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IHS Facilities</w:t>
            </w:r>
          </w:p>
        </w:tc>
        <w:tc>
          <w:tcPr>
            <w:tcW w:w="1260" w:type="dxa"/>
            <w:vAlign w:val="center"/>
          </w:tcPr>
          <w:p w:rsidR="007722E3" w:rsidRPr="00565247" w:rsidRDefault="004B6AD5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6</w:t>
            </w:r>
            <w:r w:rsidR="00C8387C" w:rsidRPr="0056524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7722E3" w:rsidRPr="00565247" w:rsidRDefault="00C8387C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14,120</w:t>
            </w:r>
          </w:p>
        </w:tc>
        <w:tc>
          <w:tcPr>
            <w:tcW w:w="1440" w:type="dxa"/>
            <w:vAlign w:val="center"/>
          </w:tcPr>
          <w:p w:rsidR="007722E3" w:rsidRPr="00565247" w:rsidRDefault="00C8387C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75.9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980" w:type="dxa"/>
            <w:vAlign w:val="center"/>
          </w:tcPr>
          <w:p w:rsidR="007722E3" w:rsidRPr="00565247" w:rsidRDefault="00E413F5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0</w:t>
            </w:r>
            <w:r w:rsidR="004B6AD5" w:rsidRPr="00565247">
              <w:rPr>
                <w:rFonts w:ascii="Arial" w:hAnsi="Arial" w:cs="Arial"/>
                <w:sz w:val="22"/>
                <w:szCs w:val="22"/>
              </w:rPr>
              <w:t>.</w:t>
            </w:r>
            <w:r w:rsidR="00C8387C" w:rsidRPr="00565247">
              <w:rPr>
                <w:rFonts w:ascii="Arial" w:hAnsi="Arial" w:cs="Arial"/>
                <w:sz w:val="22"/>
                <w:szCs w:val="22"/>
              </w:rPr>
              <w:t>7</w:t>
            </w:r>
            <w:r w:rsidR="00A54BC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70" w:type="dxa"/>
            <w:vAlign w:val="center"/>
          </w:tcPr>
          <w:p w:rsidR="007722E3" w:rsidRPr="00565247" w:rsidRDefault="00C8387C" w:rsidP="00C838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9.5</w:t>
            </w:r>
            <w:r w:rsidRPr="00565247" w:rsidDel="00C838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9" w:type="dxa"/>
            <w:vAlign w:val="center"/>
          </w:tcPr>
          <w:p w:rsidR="007722E3" w:rsidRPr="00565247" w:rsidRDefault="004B6AD5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C8387C" w:rsidRPr="00565247">
              <w:rPr>
                <w:rFonts w:ascii="Arial" w:hAnsi="Arial" w:cs="Arial"/>
                <w:sz w:val="22"/>
                <w:szCs w:val="22"/>
              </w:rPr>
              <w:t>2.3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13252" w:rsidRPr="00565247" w:rsidTr="00565247">
        <w:tc>
          <w:tcPr>
            <w:tcW w:w="1188" w:type="dxa"/>
          </w:tcPr>
          <w:p w:rsidR="007722E3" w:rsidRPr="00565247" w:rsidRDefault="007722E3">
            <w:pPr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Tribal Facilities</w:t>
            </w:r>
          </w:p>
        </w:tc>
        <w:tc>
          <w:tcPr>
            <w:tcW w:w="1260" w:type="dxa"/>
            <w:vAlign w:val="center"/>
          </w:tcPr>
          <w:p w:rsidR="007722E3" w:rsidRPr="00565247" w:rsidRDefault="00C8387C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91</w:t>
            </w:r>
          </w:p>
        </w:tc>
        <w:tc>
          <w:tcPr>
            <w:tcW w:w="1260" w:type="dxa"/>
            <w:vAlign w:val="center"/>
          </w:tcPr>
          <w:p w:rsidR="007722E3" w:rsidRPr="00565247" w:rsidRDefault="00C8387C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14,334</w:t>
            </w:r>
          </w:p>
        </w:tc>
        <w:tc>
          <w:tcPr>
            <w:tcW w:w="1440" w:type="dxa"/>
            <w:vAlign w:val="center"/>
          </w:tcPr>
          <w:p w:rsidR="007722E3" w:rsidRPr="00565247" w:rsidRDefault="00C8387C" w:rsidP="00C838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74.6%</w:t>
            </w:r>
          </w:p>
        </w:tc>
        <w:tc>
          <w:tcPr>
            <w:tcW w:w="1980" w:type="dxa"/>
            <w:vAlign w:val="center"/>
          </w:tcPr>
          <w:p w:rsidR="007722E3" w:rsidRPr="00565247" w:rsidRDefault="004B6AD5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1.</w:t>
            </w:r>
            <w:r w:rsidR="00F44738" w:rsidRPr="00565247">
              <w:rPr>
                <w:rFonts w:ascii="Arial" w:hAnsi="Arial" w:cs="Arial"/>
                <w:sz w:val="22"/>
                <w:szCs w:val="22"/>
              </w:rPr>
              <w:t>8</w:t>
            </w:r>
            <w:r w:rsidR="00A54BC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70" w:type="dxa"/>
            <w:vAlign w:val="center"/>
          </w:tcPr>
          <w:p w:rsidR="007722E3" w:rsidRPr="00565247" w:rsidRDefault="004B6AD5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565247">
              <w:rPr>
                <w:rFonts w:ascii="Arial" w:hAnsi="Arial" w:cs="Arial"/>
                <w:sz w:val="22"/>
                <w:szCs w:val="22"/>
              </w:rPr>
              <w:t>4.3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9" w:type="dxa"/>
            <w:vAlign w:val="center"/>
          </w:tcPr>
          <w:p w:rsidR="007722E3" w:rsidRPr="00565247" w:rsidRDefault="00565247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9.7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13252" w:rsidRPr="00565247" w:rsidTr="00565247">
        <w:tc>
          <w:tcPr>
            <w:tcW w:w="1188" w:type="dxa"/>
          </w:tcPr>
          <w:p w:rsidR="007722E3" w:rsidRPr="00565247" w:rsidRDefault="007722E3">
            <w:pPr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Urban Facilities</w:t>
            </w:r>
          </w:p>
        </w:tc>
        <w:tc>
          <w:tcPr>
            <w:tcW w:w="1260" w:type="dxa"/>
            <w:vAlign w:val="center"/>
          </w:tcPr>
          <w:p w:rsidR="007722E3" w:rsidRPr="00565247" w:rsidRDefault="00F4473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C8387C" w:rsidRPr="0056524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60" w:type="dxa"/>
            <w:vAlign w:val="center"/>
          </w:tcPr>
          <w:p w:rsidR="007722E3" w:rsidRPr="00565247" w:rsidRDefault="00C8387C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678</w:t>
            </w:r>
          </w:p>
        </w:tc>
        <w:tc>
          <w:tcPr>
            <w:tcW w:w="1440" w:type="dxa"/>
            <w:vAlign w:val="center"/>
          </w:tcPr>
          <w:p w:rsidR="007722E3" w:rsidRPr="00565247" w:rsidRDefault="00C8387C" w:rsidP="00C838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78.3%</w:t>
            </w:r>
          </w:p>
        </w:tc>
        <w:tc>
          <w:tcPr>
            <w:tcW w:w="1980" w:type="dxa"/>
            <w:vAlign w:val="center"/>
          </w:tcPr>
          <w:p w:rsidR="007722E3" w:rsidRPr="00565247" w:rsidRDefault="00565247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</w:t>
            </w:r>
            <w:r w:rsidR="00A54BC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70" w:type="dxa"/>
            <w:vAlign w:val="center"/>
          </w:tcPr>
          <w:p w:rsidR="007722E3" w:rsidRPr="00565247" w:rsidRDefault="00565247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9" w:type="dxa"/>
            <w:vAlign w:val="center"/>
          </w:tcPr>
          <w:p w:rsidR="007722E3" w:rsidRPr="00565247" w:rsidRDefault="00565247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5.8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D13252" w:rsidRPr="00565247" w:rsidTr="00565247">
        <w:tc>
          <w:tcPr>
            <w:tcW w:w="1188" w:type="dxa"/>
          </w:tcPr>
          <w:p w:rsidR="007722E3" w:rsidRPr="00565247" w:rsidRDefault="007722E3">
            <w:pPr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All Facilities</w:t>
            </w:r>
          </w:p>
        </w:tc>
        <w:tc>
          <w:tcPr>
            <w:tcW w:w="1260" w:type="dxa"/>
            <w:vAlign w:val="center"/>
          </w:tcPr>
          <w:p w:rsidR="007722E3" w:rsidRPr="00565247" w:rsidRDefault="00C8387C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170</w:t>
            </w:r>
          </w:p>
        </w:tc>
        <w:tc>
          <w:tcPr>
            <w:tcW w:w="1260" w:type="dxa"/>
            <w:vAlign w:val="center"/>
          </w:tcPr>
          <w:p w:rsidR="007722E3" w:rsidRPr="00565247" w:rsidRDefault="004B6AD5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2</w:t>
            </w:r>
            <w:r w:rsidR="00F44738" w:rsidRPr="00565247">
              <w:rPr>
                <w:rFonts w:ascii="Arial" w:hAnsi="Arial" w:cs="Arial"/>
                <w:sz w:val="22"/>
                <w:szCs w:val="22"/>
              </w:rPr>
              <w:t>9</w:t>
            </w:r>
            <w:r w:rsidRPr="00565247">
              <w:rPr>
                <w:rFonts w:ascii="Arial" w:hAnsi="Arial" w:cs="Arial"/>
                <w:sz w:val="22"/>
                <w:szCs w:val="22"/>
              </w:rPr>
              <w:t>,</w:t>
            </w:r>
            <w:r w:rsidR="00F44738" w:rsidRPr="00565247">
              <w:rPr>
                <w:rFonts w:ascii="Arial" w:hAnsi="Arial" w:cs="Arial"/>
                <w:sz w:val="22"/>
                <w:szCs w:val="22"/>
              </w:rPr>
              <w:t>13</w:t>
            </w:r>
            <w:r w:rsidR="00C8387C" w:rsidRPr="005652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40" w:type="dxa"/>
            <w:vAlign w:val="center"/>
          </w:tcPr>
          <w:p w:rsidR="007722E3" w:rsidRPr="00565247" w:rsidRDefault="004B6AD5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</w:t>
            </w:r>
            <w:r w:rsidR="00C8387C" w:rsidRPr="00565247">
              <w:rPr>
                <w:rFonts w:ascii="Arial" w:hAnsi="Arial" w:cs="Arial"/>
                <w:sz w:val="22"/>
                <w:szCs w:val="22"/>
              </w:rPr>
              <w:t>5.3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980" w:type="dxa"/>
            <w:vAlign w:val="center"/>
          </w:tcPr>
          <w:p w:rsidR="007722E3" w:rsidRPr="00565247" w:rsidRDefault="00A54BC3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1.</w:t>
            </w:r>
            <w:r w:rsidR="00565247">
              <w:rPr>
                <w:rFonts w:ascii="Arial" w:hAnsi="Arial" w:cs="Arial"/>
                <w:sz w:val="22"/>
                <w:szCs w:val="22"/>
              </w:rPr>
              <w:t>1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70" w:type="dxa"/>
            <w:vAlign w:val="center"/>
          </w:tcPr>
          <w:p w:rsidR="007722E3" w:rsidRPr="00565247" w:rsidRDefault="004B6AD5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565247">
              <w:rPr>
                <w:rFonts w:ascii="Arial" w:hAnsi="Arial" w:cs="Arial"/>
                <w:sz w:val="22"/>
                <w:szCs w:val="22"/>
              </w:rPr>
              <w:t>2.0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9" w:type="dxa"/>
            <w:vAlign w:val="center"/>
          </w:tcPr>
          <w:p w:rsidR="007722E3" w:rsidRPr="00565247" w:rsidRDefault="00565247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10.8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3F5631" w:rsidRPr="00565247" w:rsidRDefault="003F5631" w:rsidP="003F5631">
      <w:pPr>
        <w:jc w:val="both"/>
        <w:rPr>
          <w:rFonts w:ascii="Arial" w:hAnsi="Arial" w:cs="Arial"/>
          <w:sz w:val="22"/>
          <w:szCs w:val="22"/>
        </w:rPr>
      </w:pPr>
    </w:p>
    <w:p w:rsidR="00FA7195" w:rsidRPr="00565247" w:rsidRDefault="00FA7195" w:rsidP="003F5631">
      <w:pPr>
        <w:jc w:val="both"/>
        <w:rPr>
          <w:rFonts w:ascii="Arial" w:hAnsi="Arial" w:cs="Arial"/>
          <w:sz w:val="22"/>
          <w:szCs w:val="22"/>
        </w:rPr>
      </w:pPr>
    </w:p>
    <w:p w:rsidR="00FA7195" w:rsidRPr="00565247" w:rsidRDefault="00FA7195" w:rsidP="003F5631">
      <w:pPr>
        <w:jc w:val="both"/>
        <w:rPr>
          <w:rFonts w:ascii="Arial" w:hAnsi="Arial" w:cs="Arial"/>
          <w:sz w:val="22"/>
          <w:szCs w:val="22"/>
        </w:rPr>
      </w:pPr>
    </w:p>
    <w:p w:rsidR="00FA7195" w:rsidRPr="00565247" w:rsidRDefault="00FA7195" w:rsidP="00FA7195">
      <w:pPr>
        <w:pStyle w:val="Caption"/>
        <w:keepNext/>
        <w:jc w:val="center"/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t xml:space="preserve">Figure </w:t>
      </w:r>
      <w:r w:rsidRPr="00565247">
        <w:rPr>
          <w:rFonts w:ascii="Arial" w:hAnsi="Arial" w:cs="Arial"/>
          <w:sz w:val="22"/>
          <w:szCs w:val="22"/>
        </w:rPr>
        <w:fldChar w:fldCharType="begin"/>
      </w:r>
      <w:r w:rsidRPr="00565247">
        <w:rPr>
          <w:rFonts w:ascii="Arial" w:hAnsi="Arial" w:cs="Arial"/>
          <w:sz w:val="22"/>
          <w:szCs w:val="22"/>
        </w:rPr>
        <w:instrText xml:space="preserve"> SEQ Figure \* ARABIC </w:instrText>
      </w:r>
      <w:r w:rsidRPr="00565247">
        <w:rPr>
          <w:rFonts w:ascii="Arial" w:hAnsi="Arial" w:cs="Arial"/>
          <w:sz w:val="22"/>
          <w:szCs w:val="22"/>
        </w:rPr>
        <w:fldChar w:fldCharType="separate"/>
      </w:r>
      <w:r w:rsidRPr="00565247">
        <w:rPr>
          <w:rFonts w:ascii="Arial" w:hAnsi="Arial" w:cs="Arial"/>
          <w:noProof/>
          <w:sz w:val="22"/>
          <w:szCs w:val="22"/>
        </w:rPr>
        <w:t>1</w:t>
      </w:r>
      <w:r w:rsidRPr="00565247">
        <w:rPr>
          <w:rFonts w:ascii="Arial" w:hAnsi="Arial" w:cs="Arial"/>
          <w:sz w:val="22"/>
          <w:szCs w:val="22"/>
        </w:rPr>
        <w:fldChar w:fldCharType="end"/>
      </w:r>
      <w:r w:rsidR="002D076A">
        <w:rPr>
          <w:rFonts w:ascii="Arial" w:hAnsi="Arial" w:cs="Arial"/>
          <w:sz w:val="22"/>
          <w:szCs w:val="22"/>
        </w:rPr>
        <w:t>: HCP Influenza Coverage 2008</w:t>
      </w:r>
      <w:r w:rsidRPr="00565247">
        <w:rPr>
          <w:rFonts w:ascii="Arial" w:hAnsi="Arial" w:cs="Arial"/>
          <w:sz w:val="22"/>
          <w:szCs w:val="22"/>
        </w:rPr>
        <w:t xml:space="preserve"> - 201</w:t>
      </w:r>
      <w:r w:rsidR="002D076A">
        <w:rPr>
          <w:rFonts w:ascii="Arial" w:hAnsi="Arial" w:cs="Arial"/>
          <w:sz w:val="22"/>
          <w:szCs w:val="22"/>
        </w:rPr>
        <w:t>2</w:t>
      </w:r>
    </w:p>
    <w:p w:rsidR="00E95C12" w:rsidRPr="00565247" w:rsidRDefault="009C05BB" w:rsidP="003F5631">
      <w:pPr>
        <w:jc w:val="both"/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D25B5" wp14:editId="6C7C590F">
                <wp:simplePos x="0" y="0"/>
                <wp:positionH relativeFrom="column">
                  <wp:posOffset>0</wp:posOffset>
                </wp:positionH>
                <wp:positionV relativeFrom="paragraph">
                  <wp:posOffset>2160270</wp:posOffset>
                </wp:positionV>
                <wp:extent cx="3162300" cy="1403985"/>
                <wp:effectExtent l="0" t="0" r="0" b="12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05BB" w:rsidRPr="009C05BB" w:rsidRDefault="009C05BB" w:rsidP="001C2F86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9C05BB">
                              <w:rPr>
                                <w:sz w:val="20"/>
                                <w:szCs w:val="20"/>
                              </w:rPr>
                              <w:t>*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2011-2012 data p</w:t>
                            </w:r>
                            <w:r w:rsidRPr="009C05BB">
                              <w:rPr>
                                <w:sz w:val="20"/>
                                <w:szCs w:val="20"/>
                              </w:rPr>
                              <w:t>reliminary</w:t>
                            </w:r>
                            <w:r w:rsidR="001C2F86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9C05BB">
                              <w:rPr>
                                <w:sz w:val="20"/>
                                <w:szCs w:val="20"/>
                              </w:rPr>
                              <w:t>November 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0.1pt;width:249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" stroked="f">
                <v:textbox style="mso-fit-shape-to-text:t">
                  <w:txbxContent>
                    <w:p w:rsidR="009C05BB" w:rsidRPr="009C05BB" w:rsidRDefault="009C05BB" w:rsidP="001C2F86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9C05BB">
                        <w:rPr>
                          <w:sz w:val="20"/>
                          <w:szCs w:val="20"/>
                        </w:rPr>
                        <w:t>*</w:t>
                      </w:r>
                      <w:r>
                        <w:rPr>
                          <w:sz w:val="20"/>
                          <w:szCs w:val="20"/>
                        </w:rPr>
                        <w:t>2011-2012 data p</w:t>
                      </w:r>
                      <w:r w:rsidRPr="009C05BB">
                        <w:rPr>
                          <w:sz w:val="20"/>
                          <w:szCs w:val="20"/>
                        </w:rPr>
                        <w:t>reliminary</w:t>
                      </w:r>
                      <w:r w:rsidR="001C2F86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9C05BB">
                        <w:rPr>
                          <w:sz w:val="20"/>
                          <w:szCs w:val="20"/>
                        </w:rPr>
                        <w:t>November 2011</w:t>
                      </w:r>
                    </w:p>
                  </w:txbxContent>
                </v:textbox>
              </v:shape>
            </w:pict>
          </mc:Fallback>
        </mc:AlternateContent>
      </w:r>
      <w:r w:rsidR="002D176D" w:rsidRPr="0056524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9717926" wp14:editId="1141ABCE">
            <wp:extent cx="5781675" cy="2543175"/>
            <wp:effectExtent l="0" t="0" r="0" b="0"/>
            <wp:docPr id="1" name="Object 1" descr="HCP Influenza Coverage 2008-2012.&#10;*2011-2012 data preliminary, November 2011" title="Figure 1: HCP Influenza Coverage 2008-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7195" w:rsidRPr="00565247" w:rsidRDefault="002D176D" w:rsidP="003F5631">
      <w:pPr>
        <w:jc w:val="both"/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68C133" wp14:editId="10C88052">
                <wp:simplePos x="0" y="0"/>
                <wp:positionH relativeFrom="column">
                  <wp:posOffset>571500</wp:posOffset>
                </wp:positionH>
                <wp:positionV relativeFrom="paragraph">
                  <wp:posOffset>1087755</wp:posOffset>
                </wp:positionV>
                <wp:extent cx="4914900" cy="0"/>
                <wp:effectExtent l="9525" t="11430" r="9525" b="1714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85.65pt" to="6in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" strokecolor="red" strokeweight="1.5pt">
                <v:stroke dashstyle="longDash"/>
              </v:line>
            </w:pict>
          </mc:Fallback>
        </mc:AlternateContent>
      </w:r>
      <w:r w:rsidRPr="0056524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EF8581" wp14:editId="5DE19D26">
                <wp:simplePos x="0" y="0"/>
                <wp:positionH relativeFrom="column">
                  <wp:posOffset>914400</wp:posOffset>
                </wp:positionH>
                <wp:positionV relativeFrom="paragraph">
                  <wp:posOffset>914400</wp:posOffset>
                </wp:positionV>
                <wp:extent cx="1371600" cy="228600"/>
                <wp:effectExtent l="9525" t="9525" r="9525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631" w:rsidRPr="000E0CD3" w:rsidRDefault="00E95C12" w:rsidP="003F563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HP 2020 Goal 9</w:t>
                            </w:r>
                            <w:r w:rsidR="003F5631" w:rsidRPr="000E0CD3">
                              <w:rPr>
                                <w:sz w:val="22"/>
                                <w:szCs w:val="22"/>
                              </w:rPr>
                              <w:t>0%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in;margin-top:1in;width:10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GEBJwIAAFA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">
                <v:textbox>
                  <w:txbxContent>
                    <w:p w:rsidR="003F5631" w:rsidRPr="000E0CD3" w:rsidRDefault="00E95C12" w:rsidP="003F5631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HP 2020 Goal 9</w:t>
                      </w:r>
                      <w:r w:rsidR="003F5631" w:rsidRPr="000E0CD3">
                        <w:rPr>
                          <w:sz w:val="22"/>
                          <w:szCs w:val="22"/>
                        </w:rPr>
                        <w:t>0%</w:t>
                      </w:r>
                    </w:p>
                  </w:txbxContent>
                </v:textbox>
              </v:shape>
            </w:pict>
          </mc:Fallback>
        </mc:AlternateContent>
      </w:r>
      <w:r w:rsidRPr="00565247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3569B3D" wp14:editId="1C8E443C">
            <wp:extent cx="6429375" cy="3724275"/>
            <wp:effectExtent l="0" t="0" r="0" b="0"/>
            <wp:docPr id="2" name="Object 2" descr="HP 2010 Goal 90%" title="Figure 2:  Seasonal Influenza Vaccination Coverage of HCP by IHS Area IHS, Tribal, and Urban Fac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3F5631" w:rsidRPr="00565247" w:rsidRDefault="00FA7195" w:rsidP="003F5631">
      <w:pPr>
        <w:jc w:val="both"/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br w:type="page"/>
      </w:r>
    </w:p>
    <w:p w:rsidR="003F5631" w:rsidRPr="00565247" w:rsidRDefault="003F5631" w:rsidP="003F5631">
      <w:pPr>
        <w:jc w:val="both"/>
        <w:rPr>
          <w:rFonts w:ascii="Arial" w:hAnsi="Arial" w:cs="Arial"/>
          <w:b/>
          <w:sz w:val="22"/>
          <w:szCs w:val="22"/>
        </w:rPr>
      </w:pPr>
      <w:r w:rsidRPr="00565247">
        <w:rPr>
          <w:rFonts w:ascii="Arial" w:hAnsi="Arial" w:cs="Arial"/>
          <w:b/>
          <w:sz w:val="22"/>
          <w:szCs w:val="22"/>
        </w:rPr>
        <w:lastRenderedPageBreak/>
        <w:t>Table 2</w:t>
      </w:r>
      <w:r w:rsidR="001F264A" w:rsidRPr="00565247">
        <w:rPr>
          <w:rFonts w:ascii="Arial" w:hAnsi="Arial" w:cs="Arial"/>
          <w:b/>
          <w:sz w:val="22"/>
          <w:szCs w:val="22"/>
        </w:rPr>
        <w:t xml:space="preserve">: </w:t>
      </w:r>
      <w:r w:rsidR="00432CF2" w:rsidRPr="00565247">
        <w:rPr>
          <w:rFonts w:ascii="Arial" w:hAnsi="Arial" w:cs="Arial"/>
          <w:b/>
          <w:sz w:val="22"/>
          <w:szCs w:val="22"/>
        </w:rPr>
        <w:t>201</w:t>
      </w:r>
      <w:r w:rsidR="00F44738" w:rsidRPr="00565247">
        <w:rPr>
          <w:rFonts w:ascii="Arial" w:hAnsi="Arial" w:cs="Arial"/>
          <w:b/>
          <w:sz w:val="22"/>
          <w:szCs w:val="22"/>
        </w:rPr>
        <w:t>1</w:t>
      </w:r>
      <w:r w:rsidR="00432CF2" w:rsidRPr="00565247">
        <w:rPr>
          <w:rFonts w:ascii="Arial" w:hAnsi="Arial" w:cs="Arial"/>
          <w:b/>
          <w:sz w:val="22"/>
          <w:szCs w:val="22"/>
        </w:rPr>
        <w:t xml:space="preserve"> </w:t>
      </w:r>
      <w:r w:rsidR="00965EDD" w:rsidRPr="00565247">
        <w:rPr>
          <w:rFonts w:ascii="Arial" w:hAnsi="Arial" w:cs="Arial"/>
          <w:b/>
          <w:sz w:val="22"/>
          <w:szCs w:val="22"/>
        </w:rPr>
        <w:t xml:space="preserve">-2012 </w:t>
      </w:r>
      <w:r w:rsidR="00432CF2" w:rsidRPr="00565247">
        <w:rPr>
          <w:rFonts w:ascii="Arial" w:hAnsi="Arial" w:cs="Arial"/>
          <w:b/>
          <w:sz w:val="22"/>
          <w:szCs w:val="22"/>
        </w:rPr>
        <w:t xml:space="preserve">HCP </w:t>
      </w:r>
      <w:r w:rsidR="001F264A" w:rsidRPr="00565247">
        <w:rPr>
          <w:rFonts w:ascii="Arial" w:hAnsi="Arial" w:cs="Arial"/>
          <w:b/>
          <w:sz w:val="22"/>
          <w:szCs w:val="22"/>
        </w:rPr>
        <w:t>Seasonal Influenza Vaccine Coverage by IHS Area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3"/>
        <w:gridCol w:w="1159"/>
        <w:gridCol w:w="1058"/>
        <w:gridCol w:w="1386"/>
        <w:gridCol w:w="2087"/>
        <w:gridCol w:w="1095"/>
        <w:gridCol w:w="1218"/>
      </w:tblGrid>
      <w:tr w:rsidR="007722E3" w:rsidRPr="00565247" w:rsidTr="00E77CA8">
        <w:tc>
          <w:tcPr>
            <w:tcW w:w="1465" w:type="dxa"/>
          </w:tcPr>
          <w:p w:rsidR="007722E3" w:rsidRPr="00565247" w:rsidRDefault="007722E3" w:rsidP="003A74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1" w:type="dxa"/>
          </w:tcPr>
          <w:p w:rsidR="007722E3" w:rsidRPr="00565247" w:rsidRDefault="007722E3" w:rsidP="003A7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Number Facilities</w:t>
            </w:r>
          </w:p>
        </w:tc>
        <w:tc>
          <w:tcPr>
            <w:tcW w:w="1089" w:type="dxa"/>
          </w:tcPr>
          <w:p w:rsidR="007722E3" w:rsidRPr="00565247" w:rsidRDefault="007722E3" w:rsidP="003A7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Number HCP</w:t>
            </w:r>
          </w:p>
        </w:tc>
        <w:tc>
          <w:tcPr>
            <w:tcW w:w="1410" w:type="dxa"/>
          </w:tcPr>
          <w:p w:rsidR="007722E3" w:rsidRPr="00565247" w:rsidRDefault="007722E3" w:rsidP="003A7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% Vaccinated</w:t>
            </w:r>
          </w:p>
        </w:tc>
        <w:tc>
          <w:tcPr>
            <w:tcW w:w="2070" w:type="dxa"/>
          </w:tcPr>
          <w:p w:rsidR="007722E3" w:rsidRPr="00565247" w:rsidRDefault="007722E3" w:rsidP="003A7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% Medical Contraindications</w:t>
            </w:r>
          </w:p>
        </w:tc>
        <w:tc>
          <w:tcPr>
            <w:tcW w:w="1127" w:type="dxa"/>
          </w:tcPr>
          <w:p w:rsidR="007722E3" w:rsidRPr="00565247" w:rsidRDefault="007722E3" w:rsidP="003A7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% Refused</w:t>
            </w:r>
          </w:p>
        </w:tc>
        <w:tc>
          <w:tcPr>
            <w:tcW w:w="1254" w:type="dxa"/>
          </w:tcPr>
          <w:p w:rsidR="007722E3" w:rsidRPr="00565247" w:rsidRDefault="007722E3" w:rsidP="003A74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% Unknown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Aberdeen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2246</w:t>
            </w:r>
          </w:p>
        </w:tc>
        <w:tc>
          <w:tcPr>
            <w:tcW w:w="1410" w:type="dxa"/>
            <w:vAlign w:val="center"/>
          </w:tcPr>
          <w:p w:rsidR="00E77CA8" w:rsidRPr="00565247" w:rsidRDefault="00056A24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65.0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3B3C6B" w:rsidP="00E85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1.0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E77CA8" w:rsidP="00455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3B3C6B" w:rsidRPr="00565247">
              <w:rPr>
                <w:rFonts w:ascii="Arial" w:hAnsi="Arial" w:cs="Arial"/>
                <w:sz w:val="22"/>
                <w:szCs w:val="22"/>
              </w:rPr>
              <w:t>0.1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4.2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Alaska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6548</w:t>
            </w:r>
          </w:p>
        </w:tc>
        <w:tc>
          <w:tcPr>
            <w:tcW w:w="1410" w:type="dxa"/>
            <w:vAlign w:val="center"/>
          </w:tcPr>
          <w:p w:rsidR="00E77CA8" w:rsidRPr="00565247" w:rsidRDefault="00056A24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74.5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3B3C6B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0.9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3.8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0.8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Albuquerque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843</w:t>
            </w:r>
          </w:p>
        </w:tc>
        <w:tc>
          <w:tcPr>
            <w:tcW w:w="1410" w:type="dxa"/>
            <w:vAlign w:val="center"/>
          </w:tcPr>
          <w:p w:rsidR="00E77CA8" w:rsidRPr="00565247" w:rsidRDefault="00056A24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77.0%</w:t>
            </w:r>
          </w:p>
        </w:tc>
        <w:tc>
          <w:tcPr>
            <w:tcW w:w="2070" w:type="dxa"/>
            <w:vAlign w:val="center"/>
          </w:tcPr>
          <w:p w:rsidR="00E77CA8" w:rsidRPr="00565247" w:rsidRDefault="003B3C6B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0.7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11.5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7.8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Bemidji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1209</w:t>
            </w:r>
          </w:p>
        </w:tc>
        <w:tc>
          <w:tcPr>
            <w:tcW w:w="1410" w:type="dxa"/>
            <w:vAlign w:val="center"/>
          </w:tcPr>
          <w:p w:rsidR="00E77CA8" w:rsidRPr="00565247" w:rsidRDefault="00056A24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71.5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3B3C6B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1.1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18.2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9.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3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Billings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1237</w:t>
            </w:r>
          </w:p>
        </w:tc>
        <w:tc>
          <w:tcPr>
            <w:tcW w:w="1410" w:type="dxa"/>
            <w:vAlign w:val="center"/>
          </w:tcPr>
          <w:p w:rsidR="00E77CA8" w:rsidRPr="00565247" w:rsidRDefault="00E77CA8" w:rsidP="00E85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</w:t>
            </w:r>
            <w:r w:rsidR="00056A24" w:rsidRPr="00565247">
              <w:rPr>
                <w:rFonts w:ascii="Arial" w:hAnsi="Arial" w:cs="Arial"/>
                <w:sz w:val="22"/>
                <w:szCs w:val="22"/>
              </w:rPr>
              <w:t>3.2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3B3C6B" w:rsidP="00C375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0.6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13.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0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13.1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California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1985</w:t>
            </w:r>
          </w:p>
        </w:tc>
        <w:tc>
          <w:tcPr>
            <w:tcW w:w="1410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60.</w:t>
            </w:r>
            <w:r w:rsidR="00056A24" w:rsidRPr="00565247">
              <w:rPr>
                <w:rFonts w:ascii="Arial" w:hAnsi="Arial" w:cs="Arial"/>
                <w:sz w:val="22"/>
                <w:szCs w:val="22"/>
              </w:rPr>
              <w:t>7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3B3C6B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4.7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19.7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5.4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Nashville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1410" w:type="dxa"/>
            <w:vAlign w:val="center"/>
          </w:tcPr>
          <w:p w:rsidR="00E77CA8" w:rsidRPr="00565247" w:rsidRDefault="00056A24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63.4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0.</w:t>
            </w:r>
            <w:r w:rsidR="003B3C6B" w:rsidRPr="00565247">
              <w:rPr>
                <w:rFonts w:ascii="Arial" w:hAnsi="Arial" w:cs="Arial"/>
                <w:sz w:val="22"/>
                <w:szCs w:val="22"/>
              </w:rPr>
              <w:t>0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0641C2">
              <w:rPr>
                <w:rFonts w:ascii="Arial" w:hAnsi="Arial" w:cs="Arial"/>
                <w:sz w:val="22"/>
                <w:szCs w:val="22"/>
              </w:rPr>
              <w:t>6.7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19.9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Navajo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6183</w:t>
            </w:r>
          </w:p>
        </w:tc>
        <w:tc>
          <w:tcPr>
            <w:tcW w:w="1410" w:type="dxa"/>
            <w:vAlign w:val="center"/>
          </w:tcPr>
          <w:p w:rsidR="00E77CA8" w:rsidRPr="00565247" w:rsidRDefault="00056A24" w:rsidP="00E85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77.9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E77CA8" w:rsidP="00C375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0.</w:t>
            </w:r>
            <w:r w:rsidR="003B3C6B" w:rsidRPr="00565247">
              <w:rPr>
                <w:rFonts w:ascii="Arial" w:hAnsi="Arial" w:cs="Arial"/>
                <w:sz w:val="22"/>
                <w:szCs w:val="22"/>
              </w:rPr>
              <w:t>3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6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.5%</w:t>
            </w:r>
          </w:p>
        </w:tc>
        <w:tc>
          <w:tcPr>
            <w:tcW w:w="1254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15.4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Oklahoma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3226</w:t>
            </w:r>
          </w:p>
        </w:tc>
        <w:tc>
          <w:tcPr>
            <w:tcW w:w="1410" w:type="dxa"/>
            <w:vAlign w:val="center"/>
          </w:tcPr>
          <w:p w:rsidR="00E77CA8" w:rsidRPr="00565247" w:rsidRDefault="00056A24" w:rsidP="00E85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82.0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1.</w:t>
            </w:r>
            <w:r w:rsidR="003B3C6B" w:rsidRPr="00565247">
              <w:rPr>
                <w:rFonts w:ascii="Arial" w:hAnsi="Arial" w:cs="Arial"/>
                <w:sz w:val="22"/>
                <w:szCs w:val="22"/>
              </w:rPr>
              <w:t>3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E77CA8" w:rsidP="00455C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12.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2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4.6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Phoenix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3601</w:t>
            </w:r>
          </w:p>
        </w:tc>
        <w:tc>
          <w:tcPr>
            <w:tcW w:w="1410" w:type="dxa"/>
            <w:vAlign w:val="center"/>
          </w:tcPr>
          <w:p w:rsidR="00E77CA8" w:rsidRPr="00565247" w:rsidRDefault="00056A24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83.7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1.</w:t>
            </w:r>
            <w:r w:rsidR="003B3C6B" w:rsidRPr="00565247">
              <w:rPr>
                <w:rFonts w:ascii="Arial" w:hAnsi="Arial" w:cs="Arial"/>
                <w:sz w:val="22"/>
                <w:szCs w:val="22"/>
              </w:rPr>
              <w:t>2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10.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6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4.6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Portland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1165</w:t>
            </w:r>
          </w:p>
        </w:tc>
        <w:tc>
          <w:tcPr>
            <w:tcW w:w="1410" w:type="dxa"/>
            <w:vAlign w:val="center"/>
          </w:tcPr>
          <w:p w:rsidR="00E77CA8" w:rsidRPr="00565247" w:rsidRDefault="00E77CA8" w:rsidP="00E858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</w:t>
            </w:r>
            <w:r w:rsidR="00056A24" w:rsidRPr="00565247">
              <w:rPr>
                <w:rFonts w:ascii="Arial" w:hAnsi="Arial" w:cs="Arial"/>
                <w:sz w:val="22"/>
                <w:szCs w:val="22"/>
              </w:rPr>
              <w:t>3.7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0.</w:t>
            </w:r>
            <w:r w:rsidR="003B3C6B" w:rsidRPr="00565247">
              <w:rPr>
                <w:rFonts w:ascii="Arial" w:hAnsi="Arial" w:cs="Arial"/>
                <w:sz w:val="22"/>
                <w:szCs w:val="22"/>
              </w:rPr>
              <w:t>9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6.1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03277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9.3</w:t>
            </w:r>
            <w:r w:rsidR="00E77CA8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E77CA8" w:rsidRPr="00565247" w:rsidTr="00032778">
        <w:tc>
          <w:tcPr>
            <w:tcW w:w="1465" w:type="dxa"/>
            <w:vAlign w:val="bottom"/>
          </w:tcPr>
          <w:p w:rsidR="00E77CA8" w:rsidRPr="00565247" w:rsidRDefault="00E77CA8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Tucson</w:t>
            </w:r>
          </w:p>
        </w:tc>
        <w:tc>
          <w:tcPr>
            <w:tcW w:w="1161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089" w:type="dxa"/>
            <w:vAlign w:val="bottom"/>
          </w:tcPr>
          <w:p w:rsidR="00E77CA8" w:rsidRPr="00565247" w:rsidRDefault="00E77CA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color w:val="000000"/>
                <w:sz w:val="22"/>
                <w:szCs w:val="22"/>
              </w:rPr>
              <w:t>452</w:t>
            </w:r>
          </w:p>
        </w:tc>
        <w:tc>
          <w:tcPr>
            <w:tcW w:w="1410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8</w:t>
            </w:r>
            <w:r w:rsidR="00056A24" w:rsidRPr="00565247">
              <w:rPr>
                <w:rFonts w:ascii="Arial" w:hAnsi="Arial" w:cs="Arial"/>
                <w:sz w:val="22"/>
                <w:szCs w:val="22"/>
              </w:rPr>
              <w:t>1.2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E77CA8" w:rsidRPr="00565247" w:rsidRDefault="00E77CA8" w:rsidP="00C375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0.</w:t>
            </w:r>
            <w:r w:rsidR="003B3C6B" w:rsidRPr="00565247">
              <w:rPr>
                <w:rFonts w:ascii="Arial" w:hAnsi="Arial" w:cs="Arial"/>
                <w:sz w:val="22"/>
                <w:szCs w:val="22"/>
              </w:rPr>
              <w:t>0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13.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E77CA8" w:rsidRPr="00565247" w:rsidRDefault="00E77CA8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5.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8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7722E3" w:rsidRPr="00565247" w:rsidTr="00E77CA8">
        <w:tc>
          <w:tcPr>
            <w:tcW w:w="1465" w:type="dxa"/>
            <w:vAlign w:val="bottom"/>
          </w:tcPr>
          <w:p w:rsidR="007722E3" w:rsidRPr="00565247" w:rsidRDefault="007722E3" w:rsidP="003F563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65247">
              <w:rPr>
                <w:rFonts w:ascii="Arial" w:hAnsi="Arial" w:cs="Arial"/>
                <w:b/>
                <w:sz w:val="22"/>
                <w:szCs w:val="22"/>
              </w:rPr>
              <w:t>All Areas</w:t>
            </w:r>
          </w:p>
        </w:tc>
        <w:tc>
          <w:tcPr>
            <w:tcW w:w="1161" w:type="dxa"/>
            <w:vAlign w:val="center"/>
          </w:tcPr>
          <w:p w:rsidR="007722E3" w:rsidRPr="00565247" w:rsidRDefault="00F44738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C31083" w:rsidRPr="00565247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089" w:type="dxa"/>
            <w:vAlign w:val="center"/>
          </w:tcPr>
          <w:p w:rsidR="007722E3" w:rsidRPr="00565247" w:rsidRDefault="00A8665A" w:rsidP="00F447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2</w:t>
            </w:r>
            <w:r w:rsidR="00F44738" w:rsidRPr="00565247">
              <w:rPr>
                <w:rFonts w:ascii="Arial" w:hAnsi="Arial" w:cs="Arial"/>
                <w:sz w:val="22"/>
                <w:szCs w:val="22"/>
              </w:rPr>
              <w:t>9</w:t>
            </w:r>
            <w:r w:rsidRPr="00565247">
              <w:rPr>
                <w:rFonts w:ascii="Arial" w:hAnsi="Arial" w:cs="Arial"/>
                <w:sz w:val="22"/>
                <w:szCs w:val="22"/>
              </w:rPr>
              <w:t>,</w:t>
            </w:r>
            <w:r w:rsidR="00F44738" w:rsidRPr="00565247">
              <w:rPr>
                <w:rFonts w:ascii="Arial" w:hAnsi="Arial" w:cs="Arial"/>
                <w:sz w:val="22"/>
                <w:szCs w:val="22"/>
              </w:rPr>
              <w:t>13</w:t>
            </w:r>
            <w:r w:rsidR="00056A24" w:rsidRPr="0056524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0" w:type="dxa"/>
            <w:vAlign w:val="center"/>
          </w:tcPr>
          <w:p w:rsidR="007722E3" w:rsidRPr="00565247" w:rsidRDefault="00E85850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7</w:t>
            </w:r>
            <w:r w:rsidR="00056A24" w:rsidRPr="00565247">
              <w:rPr>
                <w:rFonts w:ascii="Arial" w:hAnsi="Arial" w:cs="Arial"/>
                <w:sz w:val="22"/>
                <w:szCs w:val="22"/>
              </w:rPr>
              <w:t>5.3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070" w:type="dxa"/>
            <w:vAlign w:val="center"/>
          </w:tcPr>
          <w:p w:rsidR="007722E3" w:rsidRPr="00565247" w:rsidRDefault="00397F0B" w:rsidP="00C375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1.</w:t>
            </w:r>
            <w:r w:rsidR="003B3C6B"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127" w:type="dxa"/>
            <w:vAlign w:val="center"/>
          </w:tcPr>
          <w:p w:rsidR="007722E3" w:rsidRPr="00565247" w:rsidRDefault="00455CCD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2.0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1254" w:type="dxa"/>
            <w:vAlign w:val="center"/>
          </w:tcPr>
          <w:p w:rsidR="007722E3" w:rsidRPr="00565247" w:rsidRDefault="00455CCD" w:rsidP="00465B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5247">
              <w:rPr>
                <w:rFonts w:ascii="Arial" w:hAnsi="Arial" w:cs="Arial"/>
                <w:sz w:val="22"/>
                <w:szCs w:val="22"/>
              </w:rPr>
              <w:t>1</w:t>
            </w:r>
            <w:r w:rsidR="00032778" w:rsidRPr="00565247">
              <w:rPr>
                <w:rFonts w:ascii="Arial" w:hAnsi="Arial" w:cs="Arial"/>
                <w:sz w:val="22"/>
                <w:szCs w:val="22"/>
              </w:rPr>
              <w:t>0.8</w:t>
            </w:r>
            <w:r w:rsidR="007722E3" w:rsidRPr="00565247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:rsidR="0050792D" w:rsidRPr="00565247" w:rsidRDefault="0050792D" w:rsidP="008D1C9A">
      <w:pPr>
        <w:rPr>
          <w:rFonts w:ascii="Arial" w:hAnsi="Arial" w:cs="Arial"/>
          <w:sz w:val="22"/>
          <w:szCs w:val="22"/>
        </w:rPr>
      </w:pPr>
    </w:p>
    <w:p w:rsidR="00DB75B1" w:rsidRPr="00565247" w:rsidRDefault="00DB75B1" w:rsidP="00DB75B1">
      <w:pPr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b/>
          <w:sz w:val="22"/>
          <w:szCs w:val="22"/>
        </w:rPr>
        <w:t>Conclusion:</w:t>
      </w:r>
      <w:r w:rsidRPr="00565247">
        <w:rPr>
          <w:rFonts w:ascii="Arial" w:hAnsi="Arial" w:cs="Arial"/>
          <w:sz w:val="22"/>
          <w:szCs w:val="22"/>
        </w:rPr>
        <w:t xml:space="preserve"> </w:t>
      </w:r>
    </w:p>
    <w:p w:rsidR="00DB75B1" w:rsidRPr="00565247" w:rsidRDefault="00DB75B1" w:rsidP="00DB75B1">
      <w:pPr>
        <w:rPr>
          <w:rFonts w:ascii="Arial" w:hAnsi="Arial" w:cs="Arial"/>
          <w:sz w:val="22"/>
          <w:szCs w:val="22"/>
        </w:rPr>
      </w:pPr>
    </w:p>
    <w:p w:rsidR="00032778" w:rsidRPr="00565247" w:rsidRDefault="00E95C12" w:rsidP="00DB75B1">
      <w:pPr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t xml:space="preserve">As an agency, IHS achieved </w:t>
      </w:r>
      <w:r w:rsidR="00032778" w:rsidRPr="00565247">
        <w:rPr>
          <w:rFonts w:ascii="Arial" w:hAnsi="Arial" w:cs="Arial"/>
          <w:sz w:val="22"/>
          <w:szCs w:val="22"/>
        </w:rPr>
        <w:t>75.3%</w:t>
      </w:r>
      <w:r w:rsidR="006B455E" w:rsidRPr="00565247">
        <w:rPr>
          <w:rFonts w:ascii="Arial" w:hAnsi="Arial" w:cs="Arial"/>
          <w:sz w:val="22"/>
          <w:szCs w:val="22"/>
        </w:rPr>
        <w:t xml:space="preserve"> </w:t>
      </w:r>
      <w:r w:rsidR="00DB75B1" w:rsidRPr="00565247">
        <w:rPr>
          <w:rFonts w:ascii="Arial" w:hAnsi="Arial" w:cs="Arial"/>
          <w:sz w:val="22"/>
          <w:szCs w:val="22"/>
        </w:rPr>
        <w:t>coverage with seasonal influenza vaccine among HCP</w:t>
      </w:r>
      <w:r w:rsidRPr="00565247">
        <w:rPr>
          <w:rFonts w:ascii="Arial" w:hAnsi="Arial" w:cs="Arial"/>
          <w:sz w:val="22"/>
          <w:szCs w:val="22"/>
        </w:rPr>
        <w:t xml:space="preserve"> in </w:t>
      </w:r>
      <w:r w:rsidR="000641C2">
        <w:rPr>
          <w:rFonts w:ascii="Arial" w:hAnsi="Arial" w:cs="Arial"/>
          <w:sz w:val="22"/>
          <w:szCs w:val="22"/>
        </w:rPr>
        <w:t xml:space="preserve">the 2011-2012 flu </w:t>
      </w:r>
      <w:proofErr w:type="gramStart"/>
      <w:r w:rsidR="000641C2">
        <w:rPr>
          <w:rFonts w:ascii="Arial" w:hAnsi="Arial" w:cs="Arial"/>
          <w:sz w:val="22"/>
          <w:szCs w:val="22"/>
        </w:rPr>
        <w:t>season</w:t>
      </w:r>
      <w:proofErr w:type="gramEnd"/>
      <w:r w:rsidR="000641C2">
        <w:rPr>
          <w:rFonts w:ascii="Arial" w:hAnsi="Arial" w:cs="Arial"/>
          <w:sz w:val="22"/>
          <w:szCs w:val="22"/>
        </w:rPr>
        <w:t>,</w:t>
      </w:r>
      <w:r w:rsidR="00977F0F">
        <w:rPr>
          <w:rFonts w:ascii="Arial" w:hAnsi="Arial" w:cs="Arial"/>
          <w:sz w:val="22"/>
          <w:szCs w:val="22"/>
        </w:rPr>
        <w:t xml:space="preserve"> </w:t>
      </w:r>
      <w:r w:rsidR="00032778" w:rsidRPr="00565247">
        <w:rPr>
          <w:rFonts w:ascii="Arial" w:hAnsi="Arial" w:cs="Arial"/>
          <w:sz w:val="22"/>
          <w:szCs w:val="22"/>
        </w:rPr>
        <w:t xml:space="preserve">a 2.9% increase </w:t>
      </w:r>
      <w:r w:rsidRPr="00565247">
        <w:rPr>
          <w:rFonts w:ascii="Arial" w:hAnsi="Arial" w:cs="Arial"/>
          <w:sz w:val="22"/>
          <w:szCs w:val="22"/>
        </w:rPr>
        <w:t xml:space="preserve">compared to the </w:t>
      </w:r>
      <w:r w:rsidR="00032778" w:rsidRPr="00565247">
        <w:rPr>
          <w:rFonts w:ascii="Arial" w:hAnsi="Arial" w:cs="Arial"/>
          <w:sz w:val="22"/>
          <w:szCs w:val="22"/>
        </w:rPr>
        <w:t>2010-2011</w:t>
      </w:r>
      <w:r w:rsidR="006B455E" w:rsidRPr="00565247">
        <w:rPr>
          <w:rFonts w:ascii="Arial" w:hAnsi="Arial" w:cs="Arial"/>
          <w:sz w:val="22"/>
          <w:szCs w:val="22"/>
        </w:rPr>
        <w:t xml:space="preserve"> </w:t>
      </w:r>
      <w:r w:rsidR="00432CF2" w:rsidRPr="00565247">
        <w:rPr>
          <w:rFonts w:ascii="Arial" w:hAnsi="Arial" w:cs="Arial"/>
          <w:sz w:val="22"/>
          <w:szCs w:val="22"/>
        </w:rPr>
        <w:t xml:space="preserve">influenza </w:t>
      </w:r>
      <w:r w:rsidR="00DB75B1" w:rsidRPr="00565247">
        <w:rPr>
          <w:rFonts w:ascii="Arial" w:hAnsi="Arial" w:cs="Arial"/>
          <w:sz w:val="22"/>
          <w:szCs w:val="22"/>
        </w:rPr>
        <w:t xml:space="preserve">season. </w:t>
      </w:r>
      <w:r w:rsidR="000641C2" w:rsidRPr="00565247">
        <w:rPr>
          <w:rFonts w:ascii="Arial" w:hAnsi="Arial" w:cs="Arial"/>
          <w:sz w:val="22"/>
          <w:szCs w:val="22"/>
        </w:rPr>
        <w:t xml:space="preserve">The Urban facilities reported the highest influenza immunization coverage for HCP (78.3%). </w:t>
      </w:r>
      <w:r w:rsidR="006B455E" w:rsidRPr="00565247">
        <w:rPr>
          <w:rFonts w:ascii="Arial" w:hAnsi="Arial" w:cs="Arial"/>
          <w:sz w:val="22"/>
          <w:szCs w:val="22"/>
        </w:rPr>
        <w:t>While</w:t>
      </w:r>
      <w:r w:rsidR="006623C5">
        <w:rPr>
          <w:rFonts w:ascii="Arial" w:hAnsi="Arial" w:cs="Arial"/>
          <w:sz w:val="22"/>
          <w:szCs w:val="22"/>
        </w:rPr>
        <w:t xml:space="preserve"> overall IHS coverage is </w:t>
      </w:r>
      <w:r w:rsidR="006B455E" w:rsidRPr="00565247">
        <w:rPr>
          <w:rFonts w:ascii="Arial" w:hAnsi="Arial" w:cs="Arial"/>
          <w:sz w:val="22"/>
          <w:szCs w:val="22"/>
        </w:rPr>
        <w:t xml:space="preserve">higher than </w:t>
      </w:r>
      <w:r w:rsidR="002D076A">
        <w:rPr>
          <w:rFonts w:ascii="Arial" w:hAnsi="Arial" w:cs="Arial"/>
          <w:sz w:val="22"/>
          <w:szCs w:val="22"/>
        </w:rPr>
        <w:t xml:space="preserve">preliminary </w:t>
      </w:r>
      <w:r w:rsidR="006B455E" w:rsidRPr="00565247">
        <w:rPr>
          <w:rFonts w:ascii="Arial" w:hAnsi="Arial" w:cs="Arial"/>
          <w:sz w:val="22"/>
          <w:szCs w:val="22"/>
        </w:rPr>
        <w:t xml:space="preserve">coverage </w:t>
      </w:r>
      <w:r w:rsidR="002D076A">
        <w:rPr>
          <w:rFonts w:ascii="Arial" w:hAnsi="Arial" w:cs="Arial"/>
          <w:sz w:val="22"/>
          <w:szCs w:val="22"/>
        </w:rPr>
        <w:t xml:space="preserve">data </w:t>
      </w:r>
      <w:r w:rsidR="006B455E" w:rsidRPr="00565247">
        <w:rPr>
          <w:rFonts w:ascii="Arial" w:hAnsi="Arial" w:cs="Arial"/>
          <w:sz w:val="22"/>
          <w:szCs w:val="22"/>
        </w:rPr>
        <w:t>reported by CDC for U.S.  HCP, t</w:t>
      </w:r>
      <w:r w:rsidR="00DC1FCC" w:rsidRPr="00565247">
        <w:rPr>
          <w:rFonts w:ascii="Arial" w:hAnsi="Arial" w:cs="Arial"/>
          <w:sz w:val="22"/>
          <w:szCs w:val="22"/>
        </w:rPr>
        <w:t>he increase</w:t>
      </w:r>
      <w:r w:rsidR="00032778" w:rsidRPr="00565247">
        <w:rPr>
          <w:rFonts w:ascii="Arial" w:hAnsi="Arial" w:cs="Arial"/>
          <w:sz w:val="22"/>
          <w:szCs w:val="22"/>
        </w:rPr>
        <w:t xml:space="preserve"> </w:t>
      </w:r>
      <w:r w:rsidR="006B455E" w:rsidRPr="00565247">
        <w:rPr>
          <w:rFonts w:ascii="Arial" w:hAnsi="Arial" w:cs="Arial"/>
          <w:sz w:val="22"/>
          <w:szCs w:val="22"/>
        </w:rPr>
        <w:t>in coverage for IHS is</w:t>
      </w:r>
      <w:r w:rsidR="00032778" w:rsidRPr="00565247">
        <w:rPr>
          <w:rFonts w:ascii="Arial" w:hAnsi="Arial" w:cs="Arial"/>
          <w:sz w:val="22"/>
          <w:szCs w:val="22"/>
        </w:rPr>
        <w:t xml:space="preserve"> modest, and </w:t>
      </w:r>
      <w:r w:rsidR="006B455E" w:rsidRPr="00565247">
        <w:rPr>
          <w:rFonts w:ascii="Arial" w:hAnsi="Arial" w:cs="Arial"/>
          <w:sz w:val="22"/>
          <w:szCs w:val="22"/>
        </w:rPr>
        <w:t xml:space="preserve">coverage levels have remained relatively static for the last 4 years. Clearly more needs to be done in order to achieve the </w:t>
      </w:r>
      <w:r w:rsidRPr="00565247">
        <w:rPr>
          <w:rFonts w:ascii="Arial" w:hAnsi="Arial" w:cs="Arial"/>
          <w:sz w:val="22"/>
          <w:szCs w:val="22"/>
        </w:rPr>
        <w:t>HP 2020 goal of 90</w:t>
      </w:r>
      <w:r w:rsidR="0050792D" w:rsidRPr="00565247">
        <w:rPr>
          <w:rFonts w:ascii="Arial" w:hAnsi="Arial" w:cs="Arial"/>
          <w:sz w:val="22"/>
          <w:szCs w:val="22"/>
        </w:rPr>
        <w:t>%</w:t>
      </w:r>
      <w:r w:rsidR="00DB75B1" w:rsidRPr="00565247">
        <w:rPr>
          <w:rFonts w:ascii="Arial" w:hAnsi="Arial" w:cs="Arial"/>
          <w:sz w:val="22"/>
          <w:szCs w:val="22"/>
        </w:rPr>
        <w:t xml:space="preserve">. </w:t>
      </w:r>
    </w:p>
    <w:p w:rsidR="00032778" w:rsidRPr="00565247" w:rsidRDefault="00032778" w:rsidP="00DB75B1">
      <w:pPr>
        <w:rPr>
          <w:rFonts w:ascii="Arial" w:hAnsi="Arial" w:cs="Arial"/>
          <w:sz w:val="22"/>
          <w:szCs w:val="22"/>
        </w:rPr>
      </w:pPr>
    </w:p>
    <w:p w:rsidR="001F264A" w:rsidRPr="00565247" w:rsidRDefault="00032778" w:rsidP="00DB75B1">
      <w:pPr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t xml:space="preserve">There is considerable coverage </w:t>
      </w:r>
      <w:r w:rsidR="000641C2">
        <w:rPr>
          <w:rFonts w:ascii="Arial" w:hAnsi="Arial" w:cs="Arial"/>
          <w:sz w:val="22"/>
          <w:szCs w:val="22"/>
        </w:rPr>
        <w:t xml:space="preserve">variation between Areas. </w:t>
      </w:r>
      <w:r w:rsidR="00C31083" w:rsidRPr="00565247">
        <w:rPr>
          <w:rFonts w:ascii="Arial" w:hAnsi="Arial" w:cs="Arial"/>
          <w:sz w:val="22"/>
          <w:szCs w:val="22"/>
        </w:rPr>
        <w:t xml:space="preserve">Coverage by IHS Area ranged from 60.7% (CAO) to 83.7% (PHX). </w:t>
      </w:r>
      <w:r w:rsidR="00DC1FCC" w:rsidRPr="00565247">
        <w:rPr>
          <w:rFonts w:ascii="Arial" w:hAnsi="Arial" w:cs="Arial"/>
          <w:sz w:val="22"/>
          <w:szCs w:val="22"/>
        </w:rPr>
        <w:t>The Alaska Area reported</w:t>
      </w:r>
      <w:r w:rsidR="00C31083" w:rsidRPr="00565247">
        <w:rPr>
          <w:rFonts w:ascii="Arial" w:hAnsi="Arial" w:cs="Arial"/>
          <w:sz w:val="22"/>
          <w:szCs w:val="22"/>
        </w:rPr>
        <w:t xml:space="preserve"> the larges</w:t>
      </w:r>
      <w:r w:rsidR="006B455E" w:rsidRPr="00565247">
        <w:rPr>
          <w:rFonts w:ascii="Arial" w:hAnsi="Arial" w:cs="Arial"/>
          <w:sz w:val="22"/>
          <w:szCs w:val="22"/>
        </w:rPr>
        <w:t>t</w:t>
      </w:r>
      <w:r w:rsidR="00C31083" w:rsidRPr="00565247">
        <w:rPr>
          <w:rFonts w:ascii="Arial" w:hAnsi="Arial" w:cs="Arial"/>
          <w:sz w:val="22"/>
          <w:szCs w:val="22"/>
        </w:rPr>
        <w:t xml:space="preserve"> increase </w:t>
      </w:r>
      <w:r w:rsidR="006B455E" w:rsidRPr="00565247">
        <w:rPr>
          <w:rFonts w:ascii="Arial" w:hAnsi="Arial" w:cs="Arial"/>
          <w:sz w:val="22"/>
          <w:szCs w:val="22"/>
        </w:rPr>
        <w:t xml:space="preserve">(9.5%) </w:t>
      </w:r>
      <w:r w:rsidR="00C31083" w:rsidRPr="00565247">
        <w:rPr>
          <w:rFonts w:ascii="Arial" w:hAnsi="Arial" w:cs="Arial"/>
          <w:sz w:val="22"/>
          <w:szCs w:val="22"/>
        </w:rPr>
        <w:t>compared to 2010-2011</w:t>
      </w:r>
      <w:r w:rsidR="006B455E" w:rsidRPr="00565247">
        <w:rPr>
          <w:rFonts w:ascii="Arial" w:hAnsi="Arial" w:cs="Arial"/>
          <w:sz w:val="22"/>
          <w:szCs w:val="22"/>
        </w:rPr>
        <w:t>.</w:t>
      </w:r>
    </w:p>
    <w:p w:rsidR="00D87D74" w:rsidRDefault="00D87D74" w:rsidP="00DB75B1">
      <w:pPr>
        <w:rPr>
          <w:rFonts w:ascii="Arial" w:hAnsi="Arial" w:cs="Arial"/>
          <w:sz w:val="22"/>
          <w:szCs w:val="22"/>
        </w:rPr>
      </w:pPr>
    </w:p>
    <w:p w:rsidR="006623C5" w:rsidRDefault="00D87D74" w:rsidP="00DB75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DB75B1" w:rsidRPr="00565247">
        <w:rPr>
          <w:rFonts w:ascii="Arial" w:hAnsi="Arial" w:cs="Arial"/>
          <w:sz w:val="22"/>
          <w:szCs w:val="22"/>
        </w:rPr>
        <w:t>actors</w:t>
      </w:r>
      <w:r>
        <w:rPr>
          <w:rFonts w:ascii="Arial" w:hAnsi="Arial" w:cs="Arial"/>
          <w:sz w:val="22"/>
          <w:szCs w:val="22"/>
        </w:rPr>
        <w:t xml:space="preserve"> contributing to </w:t>
      </w:r>
      <w:r w:rsidR="00DB75B1" w:rsidRPr="00565247">
        <w:rPr>
          <w:rFonts w:ascii="Arial" w:hAnsi="Arial" w:cs="Arial"/>
          <w:sz w:val="22"/>
          <w:szCs w:val="22"/>
        </w:rPr>
        <w:t xml:space="preserve">IHS’s success in </w:t>
      </w:r>
      <w:r w:rsidR="00DC1FCC" w:rsidRPr="00565247">
        <w:rPr>
          <w:rFonts w:ascii="Arial" w:hAnsi="Arial" w:cs="Arial"/>
          <w:sz w:val="22"/>
          <w:szCs w:val="22"/>
        </w:rPr>
        <w:t xml:space="preserve">achieving coverage levels of </w:t>
      </w:r>
      <w:r w:rsidR="006B455E" w:rsidRPr="00565247">
        <w:rPr>
          <w:rFonts w:ascii="Arial" w:hAnsi="Arial" w:cs="Arial"/>
          <w:sz w:val="22"/>
          <w:szCs w:val="22"/>
        </w:rPr>
        <w:t>75</w:t>
      </w:r>
      <w:r w:rsidR="00DC1FCC" w:rsidRPr="00565247">
        <w:rPr>
          <w:rFonts w:ascii="Arial" w:hAnsi="Arial" w:cs="Arial"/>
          <w:sz w:val="22"/>
          <w:szCs w:val="22"/>
        </w:rPr>
        <w:t>.3</w:t>
      </w:r>
      <w:r w:rsidR="006B455E" w:rsidRPr="00565247">
        <w:rPr>
          <w:rFonts w:ascii="Arial" w:hAnsi="Arial" w:cs="Arial"/>
          <w:sz w:val="22"/>
          <w:szCs w:val="22"/>
        </w:rPr>
        <w:t xml:space="preserve">% </w:t>
      </w:r>
      <w:r w:rsidR="00D82422" w:rsidRPr="00565247">
        <w:rPr>
          <w:rFonts w:ascii="Arial" w:hAnsi="Arial" w:cs="Arial"/>
          <w:sz w:val="22"/>
          <w:szCs w:val="22"/>
        </w:rPr>
        <w:t>include</w:t>
      </w:r>
      <w:r w:rsidR="00DB75B1" w:rsidRPr="00565247">
        <w:rPr>
          <w:rFonts w:ascii="Arial" w:hAnsi="Arial" w:cs="Arial"/>
          <w:sz w:val="22"/>
          <w:szCs w:val="22"/>
        </w:rPr>
        <w:t xml:space="preserve"> </w:t>
      </w:r>
      <w:r w:rsidR="00D82422" w:rsidRPr="00565247">
        <w:rPr>
          <w:rFonts w:ascii="Arial" w:hAnsi="Arial" w:cs="Arial"/>
          <w:sz w:val="22"/>
          <w:szCs w:val="22"/>
        </w:rPr>
        <w:t xml:space="preserve">concerted </w:t>
      </w:r>
      <w:r w:rsidR="00A7748F" w:rsidRPr="00565247">
        <w:rPr>
          <w:rFonts w:ascii="Arial" w:hAnsi="Arial" w:cs="Arial"/>
          <w:sz w:val="22"/>
          <w:szCs w:val="22"/>
        </w:rPr>
        <w:t xml:space="preserve">vaccination and </w:t>
      </w:r>
      <w:r w:rsidR="00DB75B1" w:rsidRPr="00565247">
        <w:rPr>
          <w:rFonts w:ascii="Arial" w:hAnsi="Arial" w:cs="Arial"/>
          <w:sz w:val="22"/>
          <w:szCs w:val="22"/>
        </w:rPr>
        <w:t>educational efforts carried out by local staff re: the impor</w:t>
      </w:r>
      <w:r w:rsidR="006B455E" w:rsidRPr="00565247">
        <w:rPr>
          <w:rFonts w:ascii="Arial" w:hAnsi="Arial" w:cs="Arial"/>
          <w:sz w:val="22"/>
          <w:szCs w:val="22"/>
        </w:rPr>
        <w:t xml:space="preserve">tance of influenza vaccination; </w:t>
      </w:r>
      <w:r w:rsidR="002D076A">
        <w:rPr>
          <w:rFonts w:ascii="Arial" w:hAnsi="Arial" w:cs="Arial"/>
          <w:sz w:val="22"/>
          <w:szCs w:val="22"/>
        </w:rPr>
        <w:t xml:space="preserve">implementation of comprehensive influenza vaccination polices at some facilities; </w:t>
      </w:r>
      <w:r w:rsidR="00DB75B1" w:rsidRPr="00565247">
        <w:rPr>
          <w:rFonts w:ascii="Arial" w:hAnsi="Arial" w:cs="Arial"/>
          <w:sz w:val="22"/>
          <w:szCs w:val="22"/>
        </w:rPr>
        <w:t>est</w:t>
      </w:r>
      <w:r w:rsidR="00CB176C" w:rsidRPr="00565247">
        <w:rPr>
          <w:rFonts w:ascii="Arial" w:hAnsi="Arial" w:cs="Arial"/>
          <w:sz w:val="22"/>
          <w:szCs w:val="22"/>
        </w:rPr>
        <w:t>ablis</w:t>
      </w:r>
      <w:r w:rsidR="00DB75B1" w:rsidRPr="00565247">
        <w:rPr>
          <w:rFonts w:ascii="Arial" w:hAnsi="Arial" w:cs="Arial"/>
          <w:sz w:val="22"/>
          <w:szCs w:val="22"/>
        </w:rPr>
        <w:t xml:space="preserve">hment of a </w:t>
      </w:r>
      <w:r w:rsidR="00CB176C" w:rsidRPr="00565247">
        <w:rPr>
          <w:rFonts w:ascii="Arial" w:hAnsi="Arial" w:cs="Arial"/>
          <w:sz w:val="22"/>
          <w:szCs w:val="22"/>
        </w:rPr>
        <w:t xml:space="preserve">national </w:t>
      </w:r>
      <w:r w:rsidR="00DB75B1" w:rsidRPr="00565247">
        <w:rPr>
          <w:rFonts w:ascii="Arial" w:hAnsi="Arial" w:cs="Arial"/>
          <w:sz w:val="22"/>
          <w:szCs w:val="22"/>
        </w:rPr>
        <w:t>system to mon</w:t>
      </w:r>
      <w:r w:rsidR="00CB176C" w:rsidRPr="00565247">
        <w:rPr>
          <w:rFonts w:ascii="Arial" w:hAnsi="Arial" w:cs="Arial"/>
          <w:sz w:val="22"/>
          <w:szCs w:val="22"/>
        </w:rPr>
        <w:t>itor and rep</w:t>
      </w:r>
      <w:r w:rsidR="00DB75B1" w:rsidRPr="00565247">
        <w:rPr>
          <w:rFonts w:ascii="Arial" w:hAnsi="Arial" w:cs="Arial"/>
          <w:sz w:val="22"/>
          <w:szCs w:val="22"/>
        </w:rPr>
        <w:t>o</w:t>
      </w:r>
      <w:r w:rsidR="00CB176C" w:rsidRPr="00565247">
        <w:rPr>
          <w:rFonts w:ascii="Arial" w:hAnsi="Arial" w:cs="Arial"/>
          <w:sz w:val="22"/>
          <w:szCs w:val="22"/>
        </w:rPr>
        <w:t xml:space="preserve">rt </w:t>
      </w:r>
      <w:r w:rsidR="00DB75B1" w:rsidRPr="00565247">
        <w:rPr>
          <w:rFonts w:ascii="Arial" w:hAnsi="Arial" w:cs="Arial"/>
          <w:sz w:val="22"/>
          <w:szCs w:val="22"/>
        </w:rPr>
        <w:t>influe</w:t>
      </w:r>
      <w:r w:rsidR="006B455E" w:rsidRPr="00565247">
        <w:rPr>
          <w:rFonts w:ascii="Arial" w:hAnsi="Arial" w:cs="Arial"/>
          <w:sz w:val="22"/>
          <w:szCs w:val="22"/>
        </w:rPr>
        <w:t>nza vaccination coverage levels;</w:t>
      </w:r>
      <w:r w:rsidR="00DB75B1" w:rsidRPr="00565247">
        <w:rPr>
          <w:rFonts w:ascii="Arial" w:hAnsi="Arial" w:cs="Arial"/>
          <w:sz w:val="22"/>
          <w:szCs w:val="22"/>
        </w:rPr>
        <w:t xml:space="preserve"> </w:t>
      </w:r>
      <w:r w:rsidR="00CB176C" w:rsidRPr="00565247">
        <w:rPr>
          <w:rFonts w:ascii="Arial" w:hAnsi="Arial" w:cs="Arial"/>
          <w:sz w:val="22"/>
          <w:szCs w:val="22"/>
        </w:rPr>
        <w:t xml:space="preserve">and </w:t>
      </w:r>
      <w:r w:rsidR="00DB75B1" w:rsidRPr="00565247">
        <w:rPr>
          <w:rFonts w:ascii="Arial" w:hAnsi="Arial" w:cs="Arial"/>
          <w:sz w:val="22"/>
          <w:szCs w:val="22"/>
        </w:rPr>
        <w:t xml:space="preserve">the relatively high proportion of Commissioned </w:t>
      </w:r>
      <w:r w:rsidR="00A7748F" w:rsidRPr="00565247">
        <w:rPr>
          <w:rFonts w:ascii="Arial" w:hAnsi="Arial" w:cs="Arial"/>
          <w:sz w:val="22"/>
          <w:szCs w:val="22"/>
        </w:rPr>
        <w:t>Corp</w:t>
      </w:r>
      <w:r w:rsidR="00DB75B1" w:rsidRPr="00565247">
        <w:rPr>
          <w:rFonts w:ascii="Arial" w:hAnsi="Arial" w:cs="Arial"/>
          <w:sz w:val="22"/>
          <w:szCs w:val="22"/>
        </w:rPr>
        <w:t xml:space="preserve"> personnel, for whom seasona</w:t>
      </w:r>
      <w:r w:rsidR="00CB176C" w:rsidRPr="00565247">
        <w:rPr>
          <w:rFonts w:ascii="Arial" w:hAnsi="Arial" w:cs="Arial"/>
          <w:sz w:val="22"/>
          <w:szCs w:val="22"/>
        </w:rPr>
        <w:t>l influenza vacc</w:t>
      </w:r>
      <w:r w:rsidR="00DB75B1" w:rsidRPr="00565247">
        <w:rPr>
          <w:rFonts w:ascii="Arial" w:hAnsi="Arial" w:cs="Arial"/>
          <w:sz w:val="22"/>
          <w:szCs w:val="22"/>
        </w:rPr>
        <w:t>in</w:t>
      </w:r>
      <w:r w:rsidR="00CB176C" w:rsidRPr="00565247">
        <w:rPr>
          <w:rFonts w:ascii="Arial" w:hAnsi="Arial" w:cs="Arial"/>
          <w:sz w:val="22"/>
          <w:szCs w:val="22"/>
        </w:rPr>
        <w:t>a</w:t>
      </w:r>
      <w:r w:rsidR="00DB75B1" w:rsidRPr="00565247">
        <w:rPr>
          <w:rFonts w:ascii="Arial" w:hAnsi="Arial" w:cs="Arial"/>
          <w:sz w:val="22"/>
          <w:szCs w:val="22"/>
        </w:rPr>
        <w:t>tion is a readiness requirement.</w:t>
      </w:r>
    </w:p>
    <w:p w:rsidR="006623C5" w:rsidRDefault="006623C5" w:rsidP="00DB75B1">
      <w:pPr>
        <w:rPr>
          <w:rFonts w:ascii="Arial" w:hAnsi="Arial" w:cs="Arial"/>
          <w:sz w:val="22"/>
          <w:szCs w:val="22"/>
        </w:rPr>
      </w:pPr>
    </w:p>
    <w:p w:rsidR="00DB75B1" w:rsidRPr="00565247" w:rsidRDefault="00DB75B1" w:rsidP="00DB75B1">
      <w:pPr>
        <w:rPr>
          <w:rFonts w:ascii="Arial" w:hAnsi="Arial" w:cs="Arial"/>
          <w:sz w:val="22"/>
          <w:szCs w:val="22"/>
        </w:rPr>
      </w:pPr>
      <w:r w:rsidRPr="00565247">
        <w:rPr>
          <w:rFonts w:ascii="Arial" w:hAnsi="Arial" w:cs="Arial"/>
          <w:sz w:val="22"/>
          <w:szCs w:val="22"/>
        </w:rPr>
        <w:t xml:space="preserve"> </w:t>
      </w:r>
      <w:r w:rsidR="006623C5">
        <w:rPr>
          <w:rFonts w:ascii="Arial" w:hAnsi="Arial" w:cs="Arial"/>
          <w:sz w:val="22"/>
          <w:szCs w:val="22"/>
        </w:rPr>
        <w:t xml:space="preserve">Implementing facility policies re: influenza vaccination for HCP, continuing to explore and address HCP reasons for refusing the </w:t>
      </w:r>
      <w:proofErr w:type="gramStart"/>
      <w:r w:rsidR="006623C5">
        <w:rPr>
          <w:rFonts w:ascii="Arial" w:hAnsi="Arial" w:cs="Arial"/>
          <w:sz w:val="22"/>
          <w:szCs w:val="22"/>
        </w:rPr>
        <w:t>vaccine,</w:t>
      </w:r>
      <w:proofErr w:type="gramEnd"/>
      <w:r w:rsidR="006623C5">
        <w:rPr>
          <w:rFonts w:ascii="Arial" w:hAnsi="Arial" w:cs="Arial"/>
          <w:sz w:val="22"/>
          <w:szCs w:val="22"/>
        </w:rPr>
        <w:t xml:space="preserve"> and addressing challenges in effectively tracking influenza vaccine coverage among HCP are needed to continue to increase coverage levels. </w:t>
      </w:r>
    </w:p>
    <w:p w:rsidR="008D1C9A" w:rsidRDefault="008D1C9A" w:rsidP="008D1C9A">
      <w:pPr>
        <w:rPr>
          <w:rFonts w:ascii="Times New Roman Bold" w:hAnsi="Times New Roman Bold"/>
          <w:b/>
        </w:rPr>
      </w:pPr>
    </w:p>
    <w:p w:rsidR="003F5631" w:rsidRDefault="003F5631"/>
    <w:sectPr w:rsidR="003F5631" w:rsidSect="006648B2">
      <w:footerReference w:type="even" r:id="rId11"/>
      <w:footerReference w:type="default" r:id="rId12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DB" w:rsidRDefault="001947DB">
      <w:r>
        <w:separator/>
      </w:r>
    </w:p>
  </w:endnote>
  <w:endnote w:type="continuationSeparator" w:id="0">
    <w:p w:rsidR="001947DB" w:rsidRDefault="0019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6B" w:rsidRDefault="00CC396B" w:rsidP="00BB2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96B" w:rsidRDefault="00CC39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6B" w:rsidRDefault="00CC396B" w:rsidP="00BB2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2042F">
      <w:rPr>
        <w:rStyle w:val="PageNumber"/>
        <w:noProof/>
      </w:rPr>
      <w:t>1</w:t>
    </w:r>
    <w:r>
      <w:rPr>
        <w:rStyle w:val="PageNumber"/>
      </w:rPr>
      <w:fldChar w:fldCharType="end"/>
    </w:r>
  </w:p>
  <w:p w:rsidR="00CC396B" w:rsidRDefault="00CC39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DB" w:rsidRDefault="001947DB">
      <w:r>
        <w:separator/>
      </w:r>
    </w:p>
  </w:footnote>
  <w:footnote w:type="continuationSeparator" w:id="0">
    <w:p w:rsidR="001947DB" w:rsidRDefault="00194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55E0"/>
    <w:multiLevelType w:val="hybridMultilevel"/>
    <w:tmpl w:val="8B3CFC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F50DEF"/>
    <w:multiLevelType w:val="hybridMultilevel"/>
    <w:tmpl w:val="7CCE4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2134B"/>
    <w:multiLevelType w:val="hybridMultilevel"/>
    <w:tmpl w:val="AE90442C"/>
    <w:lvl w:ilvl="0" w:tplc="6A3E5AEA">
      <w:start w:val="1"/>
      <w:numFmt w:val="bullet"/>
      <w:lvlText w:val=""/>
      <w:lvlJc w:val="left"/>
      <w:pPr>
        <w:tabs>
          <w:tab w:val="num" w:pos="830"/>
        </w:tabs>
        <w:ind w:left="830" w:hanging="18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B429EE"/>
    <w:multiLevelType w:val="hybridMultilevel"/>
    <w:tmpl w:val="7DE0652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DD94101"/>
    <w:multiLevelType w:val="hybridMultilevel"/>
    <w:tmpl w:val="EFD443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7B1"/>
    <w:rsid w:val="000309F7"/>
    <w:rsid w:val="00032778"/>
    <w:rsid w:val="00047925"/>
    <w:rsid w:val="00056A24"/>
    <w:rsid w:val="000641C2"/>
    <w:rsid w:val="000A0FC7"/>
    <w:rsid w:val="000B27B1"/>
    <w:rsid w:val="000E0CD3"/>
    <w:rsid w:val="000E1DDF"/>
    <w:rsid w:val="000E740B"/>
    <w:rsid w:val="000E7776"/>
    <w:rsid w:val="000F76ED"/>
    <w:rsid w:val="0010662A"/>
    <w:rsid w:val="00107955"/>
    <w:rsid w:val="00134EF6"/>
    <w:rsid w:val="001475BE"/>
    <w:rsid w:val="0015751E"/>
    <w:rsid w:val="001947DB"/>
    <w:rsid w:val="001C2F86"/>
    <w:rsid w:val="001D3D92"/>
    <w:rsid w:val="001F0F37"/>
    <w:rsid w:val="001F264A"/>
    <w:rsid w:val="001F3199"/>
    <w:rsid w:val="00261139"/>
    <w:rsid w:val="00274512"/>
    <w:rsid w:val="002A5B09"/>
    <w:rsid w:val="002D076A"/>
    <w:rsid w:val="002D176D"/>
    <w:rsid w:val="003112B1"/>
    <w:rsid w:val="00397F0B"/>
    <w:rsid w:val="003A222C"/>
    <w:rsid w:val="003A7416"/>
    <w:rsid w:val="003B2EDF"/>
    <w:rsid w:val="003B3C6B"/>
    <w:rsid w:val="003D3AAB"/>
    <w:rsid w:val="003E4CF0"/>
    <w:rsid w:val="003E756B"/>
    <w:rsid w:val="003F5631"/>
    <w:rsid w:val="004000D7"/>
    <w:rsid w:val="00432CF2"/>
    <w:rsid w:val="004373E3"/>
    <w:rsid w:val="00455CCD"/>
    <w:rsid w:val="00465B58"/>
    <w:rsid w:val="00467E58"/>
    <w:rsid w:val="004B6AD5"/>
    <w:rsid w:val="004C3ED9"/>
    <w:rsid w:val="004D16D0"/>
    <w:rsid w:val="0050792D"/>
    <w:rsid w:val="00524640"/>
    <w:rsid w:val="00533B11"/>
    <w:rsid w:val="00562B8E"/>
    <w:rsid w:val="00565247"/>
    <w:rsid w:val="005824F5"/>
    <w:rsid w:val="006036C3"/>
    <w:rsid w:val="00607229"/>
    <w:rsid w:val="00641CFF"/>
    <w:rsid w:val="006623C5"/>
    <w:rsid w:val="006648B2"/>
    <w:rsid w:val="006776A8"/>
    <w:rsid w:val="006B455E"/>
    <w:rsid w:val="006F5FCB"/>
    <w:rsid w:val="00706F4C"/>
    <w:rsid w:val="0072042F"/>
    <w:rsid w:val="0073604E"/>
    <w:rsid w:val="007722E3"/>
    <w:rsid w:val="00774976"/>
    <w:rsid w:val="00795251"/>
    <w:rsid w:val="007B4EFC"/>
    <w:rsid w:val="007F08DC"/>
    <w:rsid w:val="007F4DFE"/>
    <w:rsid w:val="007F6DFF"/>
    <w:rsid w:val="00805FE8"/>
    <w:rsid w:val="00852BF5"/>
    <w:rsid w:val="00881C73"/>
    <w:rsid w:val="008C04EE"/>
    <w:rsid w:val="008D1C9A"/>
    <w:rsid w:val="00910762"/>
    <w:rsid w:val="0091301C"/>
    <w:rsid w:val="00965EDD"/>
    <w:rsid w:val="00966045"/>
    <w:rsid w:val="009726F4"/>
    <w:rsid w:val="00977F0F"/>
    <w:rsid w:val="009874F1"/>
    <w:rsid w:val="009C05BB"/>
    <w:rsid w:val="009C4D32"/>
    <w:rsid w:val="009F07A9"/>
    <w:rsid w:val="00A14E22"/>
    <w:rsid w:val="00A54BC3"/>
    <w:rsid w:val="00A61D38"/>
    <w:rsid w:val="00A7748F"/>
    <w:rsid w:val="00A84A2C"/>
    <w:rsid w:val="00A8665A"/>
    <w:rsid w:val="00AC0AEA"/>
    <w:rsid w:val="00AF5EE6"/>
    <w:rsid w:val="00B125DA"/>
    <w:rsid w:val="00BB2A17"/>
    <w:rsid w:val="00BC13DD"/>
    <w:rsid w:val="00BC5682"/>
    <w:rsid w:val="00BC6024"/>
    <w:rsid w:val="00C31083"/>
    <w:rsid w:val="00C312C3"/>
    <w:rsid w:val="00C37529"/>
    <w:rsid w:val="00C43BA1"/>
    <w:rsid w:val="00C8387C"/>
    <w:rsid w:val="00CB176C"/>
    <w:rsid w:val="00CC396B"/>
    <w:rsid w:val="00CC6968"/>
    <w:rsid w:val="00D0308B"/>
    <w:rsid w:val="00D13252"/>
    <w:rsid w:val="00D630E5"/>
    <w:rsid w:val="00D82422"/>
    <w:rsid w:val="00D87D74"/>
    <w:rsid w:val="00DA2686"/>
    <w:rsid w:val="00DB7465"/>
    <w:rsid w:val="00DB75B1"/>
    <w:rsid w:val="00DC1FCC"/>
    <w:rsid w:val="00DD69C3"/>
    <w:rsid w:val="00DE2B5E"/>
    <w:rsid w:val="00E00993"/>
    <w:rsid w:val="00E15E0C"/>
    <w:rsid w:val="00E413F5"/>
    <w:rsid w:val="00E57898"/>
    <w:rsid w:val="00E672C2"/>
    <w:rsid w:val="00E77CA8"/>
    <w:rsid w:val="00E85850"/>
    <w:rsid w:val="00E95C12"/>
    <w:rsid w:val="00EA01ED"/>
    <w:rsid w:val="00ED5A17"/>
    <w:rsid w:val="00EE1224"/>
    <w:rsid w:val="00F44738"/>
    <w:rsid w:val="00F74F7C"/>
    <w:rsid w:val="00FA06EB"/>
    <w:rsid w:val="00FA7195"/>
    <w:rsid w:val="00FB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rsid w:val="00366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933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9333C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E9333C"/>
    <w:rPr>
      <w:sz w:val="18"/>
      <w:szCs w:val="18"/>
    </w:rPr>
  </w:style>
  <w:style w:type="paragraph" w:styleId="CommentText">
    <w:name w:val="annotation text"/>
    <w:basedOn w:val="Normal"/>
    <w:link w:val="CommentTextChar"/>
    <w:rsid w:val="00E9333C"/>
  </w:style>
  <w:style w:type="character" w:customStyle="1" w:styleId="CommentTextChar">
    <w:name w:val="Comment Text Char"/>
    <w:link w:val="CommentText"/>
    <w:rsid w:val="00E9333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9333C"/>
    <w:rPr>
      <w:b/>
      <w:bCs/>
    </w:rPr>
  </w:style>
  <w:style w:type="character" w:customStyle="1" w:styleId="CommentSubjectChar">
    <w:name w:val="Comment Subject Char"/>
    <w:link w:val="CommentSubject"/>
    <w:rsid w:val="00E9333C"/>
    <w:rPr>
      <w:b/>
      <w:bCs/>
      <w:sz w:val="24"/>
      <w:szCs w:val="24"/>
    </w:rPr>
  </w:style>
  <w:style w:type="paragraph" w:styleId="Footer">
    <w:name w:val="footer"/>
    <w:basedOn w:val="Normal"/>
    <w:rsid w:val="00CC39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96B"/>
  </w:style>
  <w:style w:type="character" w:styleId="Hyperlink">
    <w:name w:val="Hyperlink"/>
    <w:rsid w:val="001F264A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FA719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0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rsid w:val="00366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9333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9333C"/>
    <w:rPr>
      <w:rFonts w:ascii="Lucida Grande" w:hAnsi="Lucida Grande"/>
      <w:sz w:val="18"/>
      <w:szCs w:val="18"/>
    </w:rPr>
  </w:style>
  <w:style w:type="character" w:styleId="CommentReference">
    <w:name w:val="annotation reference"/>
    <w:rsid w:val="00E9333C"/>
    <w:rPr>
      <w:sz w:val="18"/>
      <w:szCs w:val="18"/>
    </w:rPr>
  </w:style>
  <w:style w:type="paragraph" w:styleId="CommentText">
    <w:name w:val="annotation text"/>
    <w:basedOn w:val="Normal"/>
    <w:link w:val="CommentTextChar"/>
    <w:rsid w:val="00E9333C"/>
  </w:style>
  <w:style w:type="character" w:customStyle="1" w:styleId="CommentTextChar">
    <w:name w:val="Comment Text Char"/>
    <w:link w:val="CommentText"/>
    <w:rsid w:val="00E9333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9333C"/>
    <w:rPr>
      <w:b/>
      <w:bCs/>
    </w:rPr>
  </w:style>
  <w:style w:type="character" w:customStyle="1" w:styleId="CommentSubjectChar">
    <w:name w:val="Comment Subject Char"/>
    <w:link w:val="CommentSubject"/>
    <w:rsid w:val="00E9333C"/>
    <w:rPr>
      <w:b/>
      <w:bCs/>
      <w:sz w:val="24"/>
      <w:szCs w:val="24"/>
    </w:rPr>
  </w:style>
  <w:style w:type="paragraph" w:styleId="Footer">
    <w:name w:val="footer"/>
    <w:basedOn w:val="Normal"/>
    <w:rsid w:val="00CC39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C396B"/>
  </w:style>
  <w:style w:type="character" w:styleId="Hyperlink">
    <w:name w:val="Hyperlink"/>
    <w:rsid w:val="001F264A"/>
    <w:rPr>
      <w:color w:val="0000FF"/>
      <w:u w:val="single"/>
    </w:rPr>
  </w:style>
  <w:style w:type="paragraph" w:styleId="Caption">
    <w:name w:val="caption"/>
    <w:basedOn w:val="Normal"/>
    <w:next w:val="Normal"/>
    <w:unhideWhenUsed/>
    <w:qFormat/>
    <w:rsid w:val="00FA719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hpes.ihs.gov/immunizations/index.cfm?module=immunizations&amp;option=report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74496644295302"/>
          <c:y val="9.6899224806201556E-2"/>
          <c:w val="0.66107382550335569"/>
          <c:h val="0.6610052395136001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I/T/U HCP</c:v>
                </c:pt>
              </c:strCache>
            </c:strRef>
          </c:tx>
          <c:spPr>
            <a:ln w="34278">
              <a:solidFill>
                <a:srgbClr val="000080"/>
              </a:solidFill>
              <a:prstDash val="solid"/>
            </a:ln>
          </c:spPr>
          <c:marker>
            <c:symbol val="diamond"/>
            <c:size val="8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0.71</c:v>
                </c:pt>
                <c:pt idx="1">
                  <c:v>0.75</c:v>
                </c:pt>
                <c:pt idx="2">
                  <c:v>0.72</c:v>
                </c:pt>
                <c:pt idx="3">
                  <c:v>0.753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US HCP*</c:v>
                </c:pt>
              </c:strCache>
            </c:strRef>
          </c:tx>
          <c:spPr>
            <a:ln w="34278">
              <a:solidFill>
                <a:srgbClr val="00FF00"/>
              </a:solidFill>
              <a:prstDash val="solid"/>
            </a:ln>
          </c:spPr>
          <c:marker>
            <c:symbol val="square"/>
            <c:size val="8"/>
            <c:spPr>
              <a:solidFill>
                <a:srgbClr val="00FF00"/>
              </a:solidFill>
              <a:ln>
                <a:solidFill>
                  <a:srgbClr val="00FF0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1">
                  <c:v>0.62</c:v>
                </c:pt>
                <c:pt idx="2">
                  <c:v>0.64</c:v>
                </c:pt>
                <c:pt idx="3">
                  <c:v>0.63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I/T/U Refusals</c:v>
                </c:pt>
              </c:strCache>
            </c:strRef>
          </c:tx>
          <c:spPr>
            <a:ln w="34278">
              <a:solidFill>
                <a:srgbClr val="FFFF00"/>
              </a:solidFill>
              <a:prstDash val="solid"/>
            </a:ln>
          </c:spPr>
          <c:marker>
            <c:symbol val="triangle"/>
            <c:size val="8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Sheet1!$B$1:$E$1</c:f>
              <c:strCache>
                <c:ptCount val="4"/>
                <c:pt idx="0">
                  <c:v>2008-2009</c:v>
                </c:pt>
                <c:pt idx="1">
                  <c:v>2009-2010</c:v>
                </c:pt>
                <c:pt idx="2">
                  <c:v>2010-2011</c:v>
                </c:pt>
                <c:pt idx="3">
                  <c:v>2011-2012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</c:v>
                </c:pt>
                <c:pt idx="1">
                  <c:v>0.12</c:v>
                </c:pt>
                <c:pt idx="2">
                  <c:v>0.14000000000000001</c:v>
                </c:pt>
                <c:pt idx="3">
                  <c:v>0.12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6668928"/>
        <c:axId val="36670464"/>
      </c:lineChart>
      <c:catAx>
        <c:axId val="36668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12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366704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6670464"/>
        <c:scaling>
          <c:orientation val="minMax"/>
          <c:max val="1"/>
        </c:scaling>
        <c:delete val="0"/>
        <c:axPos val="l"/>
        <c:majorGridlines>
          <c:spPr>
            <a:ln w="2857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85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6668928"/>
        <c:crosses val="autoZero"/>
        <c:crossBetween val="between"/>
        <c:majorUnit val="0.1"/>
        <c:minorUnit val="0.02"/>
      </c:valAx>
      <c:spPr>
        <a:solidFill>
          <a:srgbClr val="C0C0C0"/>
        </a:solidFill>
        <a:ln w="11426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9530201342281881"/>
          <c:y val="0.31782945736434109"/>
          <c:w val="0.19798657718120805"/>
          <c:h val="0.27131782945736432"/>
        </c:manualLayout>
      </c:layout>
      <c:overlay val="0"/>
      <c:spPr>
        <a:noFill/>
        <a:ln w="2857">
          <a:solidFill>
            <a:srgbClr val="000000"/>
          </a:solidFill>
          <a:prstDash val="solid"/>
        </a:ln>
      </c:spPr>
      <c:txPr>
        <a:bodyPr/>
        <a:lstStyle/>
        <a:p>
          <a:pPr>
            <a:defRPr sz="9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1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/>
              <a:t>Figure 2: Seasonal Influenza Vaccination Coverage of HCP by IHS Area
IHS, Tribal, and Urban Facilities </a:t>
            </a:r>
          </a:p>
        </c:rich>
      </c:tx>
      <c:layout>
        <c:manualLayout>
          <c:xMode val="edge"/>
          <c:yMode val="edge"/>
          <c:x val="0.11076923076923077"/>
          <c:y val="2.0997375328083989E-2"/>
        </c:manualLayout>
      </c:layout>
      <c:overlay val="0"/>
      <c:spPr>
        <a:noFill/>
        <a:ln w="2293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2307692307692313E-2"/>
          <c:y val="0.23622047244094488"/>
          <c:w val="0.76904084767181879"/>
          <c:h val="0.5459317585301837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2008-2009</c:v>
                </c:pt>
              </c:strCache>
            </c:strRef>
          </c:tx>
          <c:spPr>
            <a:solidFill>
              <a:srgbClr val="9999FF"/>
            </a:solidFill>
            <a:ln w="114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Sheet1!$A$2:$A$14</c:f>
              <c:strCache>
                <c:ptCount val="13"/>
                <c:pt idx="0">
                  <c:v>Aberdeen</c:v>
                </c:pt>
                <c:pt idx="1">
                  <c:v>Alaska</c:v>
                </c:pt>
                <c:pt idx="2">
                  <c:v>Albuquerque</c:v>
                </c:pt>
                <c:pt idx="3">
                  <c:v>Bemidji</c:v>
                </c:pt>
                <c:pt idx="4">
                  <c:v>Billings</c:v>
                </c:pt>
                <c:pt idx="5">
                  <c:v>California</c:v>
                </c:pt>
                <c:pt idx="6">
                  <c:v>Nashville</c:v>
                </c:pt>
                <c:pt idx="7">
                  <c:v>Navajo</c:v>
                </c:pt>
                <c:pt idx="8">
                  <c:v>Oklahoma</c:v>
                </c:pt>
                <c:pt idx="9">
                  <c:v>Phoenix</c:v>
                </c:pt>
                <c:pt idx="10">
                  <c:v>Portland</c:v>
                </c:pt>
                <c:pt idx="11">
                  <c:v>Tucson</c:v>
                </c:pt>
                <c:pt idx="12">
                  <c:v>All Areas</c:v>
                </c:pt>
              </c:strCache>
            </c:strRef>
          </c:cat>
          <c:val>
            <c:numRef>
              <c:f>Sheet1!$B$2:$B$14</c:f>
              <c:numCache>
                <c:formatCode>0.0%</c:formatCode>
                <c:ptCount val="13"/>
                <c:pt idx="0">
                  <c:v>0.73250000000000004</c:v>
                </c:pt>
                <c:pt idx="1">
                  <c:v>0.73499999999999999</c:v>
                </c:pt>
                <c:pt idx="2">
                  <c:v>0.73509999999999998</c:v>
                </c:pt>
                <c:pt idx="3">
                  <c:v>0.75470000000000004</c:v>
                </c:pt>
                <c:pt idx="4">
                  <c:v>0.61360000000000003</c:v>
                </c:pt>
                <c:pt idx="5">
                  <c:v>0.5081</c:v>
                </c:pt>
                <c:pt idx="6">
                  <c:v>0.87760000000000005</c:v>
                </c:pt>
                <c:pt idx="7">
                  <c:v>0.72240000000000004</c:v>
                </c:pt>
                <c:pt idx="8">
                  <c:v>0.84540000000000004</c:v>
                </c:pt>
                <c:pt idx="9">
                  <c:v>0.70889999999999997</c:v>
                </c:pt>
                <c:pt idx="10">
                  <c:v>0.68689999999999996</c:v>
                </c:pt>
                <c:pt idx="11">
                  <c:v>0.80179999999999996</c:v>
                </c:pt>
                <c:pt idx="12">
                  <c:v>0.71319999999999995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2009-2010</c:v>
                </c:pt>
              </c:strCache>
            </c:strRef>
          </c:tx>
          <c:spPr>
            <a:solidFill>
              <a:srgbClr val="993366"/>
            </a:solidFill>
            <a:ln w="114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Sheet1!$A$2:$A$14</c:f>
              <c:strCache>
                <c:ptCount val="13"/>
                <c:pt idx="0">
                  <c:v>Aberdeen</c:v>
                </c:pt>
                <c:pt idx="1">
                  <c:v>Alaska</c:v>
                </c:pt>
                <c:pt idx="2">
                  <c:v>Albuquerque</c:v>
                </c:pt>
                <c:pt idx="3">
                  <c:v>Bemidji</c:v>
                </c:pt>
                <c:pt idx="4">
                  <c:v>Billings</c:v>
                </c:pt>
                <c:pt idx="5">
                  <c:v>California</c:v>
                </c:pt>
                <c:pt idx="6">
                  <c:v>Nashville</c:v>
                </c:pt>
                <c:pt idx="7">
                  <c:v>Navajo</c:v>
                </c:pt>
                <c:pt idx="8">
                  <c:v>Oklahoma</c:v>
                </c:pt>
                <c:pt idx="9">
                  <c:v>Phoenix</c:v>
                </c:pt>
                <c:pt idx="10">
                  <c:v>Portland</c:v>
                </c:pt>
                <c:pt idx="11">
                  <c:v>Tucson</c:v>
                </c:pt>
                <c:pt idx="12">
                  <c:v>All Areas</c:v>
                </c:pt>
              </c:strCache>
            </c:strRef>
          </c:cat>
          <c:val>
            <c:numRef>
              <c:f>Sheet1!$C$2:$C$14</c:f>
              <c:numCache>
                <c:formatCode>0.0%</c:formatCode>
                <c:ptCount val="13"/>
                <c:pt idx="0">
                  <c:v>0.70099999999999996</c:v>
                </c:pt>
                <c:pt idx="1">
                  <c:v>0.69499999999999995</c:v>
                </c:pt>
                <c:pt idx="2">
                  <c:v>0.748</c:v>
                </c:pt>
                <c:pt idx="3">
                  <c:v>0.747</c:v>
                </c:pt>
                <c:pt idx="4">
                  <c:v>0.79500000000000004</c:v>
                </c:pt>
                <c:pt idx="5">
                  <c:v>0.58499999999999996</c:v>
                </c:pt>
                <c:pt idx="6">
                  <c:v>0.80300000000000005</c:v>
                </c:pt>
                <c:pt idx="7">
                  <c:v>0.80600000000000005</c:v>
                </c:pt>
                <c:pt idx="8">
                  <c:v>0.86</c:v>
                </c:pt>
                <c:pt idx="9">
                  <c:v>0.79500000000000004</c:v>
                </c:pt>
                <c:pt idx="10">
                  <c:v>0.751</c:v>
                </c:pt>
                <c:pt idx="11">
                  <c:v>0.86599999999999999</c:v>
                </c:pt>
                <c:pt idx="12">
                  <c:v>0.749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2010-2011</c:v>
                </c:pt>
              </c:strCache>
            </c:strRef>
          </c:tx>
          <c:spPr>
            <a:solidFill>
              <a:srgbClr val="FFFFCC"/>
            </a:solidFill>
            <a:ln w="1147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Sheet1!$A$2:$A$14</c:f>
              <c:strCache>
                <c:ptCount val="13"/>
                <c:pt idx="0">
                  <c:v>Aberdeen</c:v>
                </c:pt>
                <c:pt idx="1">
                  <c:v>Alaska</c:v>
                </c:pt>
                <c:pt idx="2">
                  <c:v>Albuquerque</c:v>
                </c:pt>
                <c:pt idx="3">
                  <c:v>Bemidji</c:v>
                </c:pt>
                <c:pt idx="4">
                  <c:v>Billings</c:v>
                </c:pt>
                <c:pt idx="5">
                  <c:v>California</c:v>
                </c:pt>
                <c:pt idx="6">
                  <c:v>Nashville</c:v>
                </c:pt>
                <c:pt idx="7">
                  <c:v>Navajo</c:v>
                </c:pt>
                <c:pt idx="8">
                  <c:v>Oklahoma</c:v>
                </c:pt>
                <c:pt idx="9">
                  <c:v>Phoenix</c:v>
                </c:pt>
                <c:pt idx="10">
                  <c:v>Portland</c:v>
                </c:pt>
                <c:pt idx="11">
                  <c:v>Tucson</c:v>
                </c:pt>
                <c:pt idx="12">
                  <c:v>All Areas</c:v>
                </c:pt>
              </c:strCache>
            </c:strRef>
          </c:cat>
          <c:val>
            <c:numRef>
              <c:f>Sheet1!$D$2:$D$14</c:f>
              <c:numCache>
                <c:formatCode>0.0%</c:formatCode>
                <c:ptCount val="13"/>
                <c:pt idx="0">
                  <c:v>0.7</c:v>
                </c:pt>
                <c:pt idx="1">
                  <c:v>0.65</c:v>
                </c:pt>
                <c:pt idx="2">
                  <c:v>0.84</c:v>
                </c:pt>
                <c:pt idx="3">
                  <c:v>0.68</c:v>
                </c:pt>
                <c:pt idx="4">
                  <c:v>0.78</c:v>
                </c:pt>
                <c:pt idx="5">
                  <c:v>0.61</c:v>
                </c:pt>
                <c:pt idx="6">
                  <c:v>0.73</c:v>
                </c:pt>
                <c:pt idx="7">
                  <c:v>0.81</c:v>
                </c:pt>
                <c:pt idx="8">
                  <c:v>0.76</c:v>
                </c:pt>
                <c:pt idx="9">
                  <c:v>0.75</c:v>
                </c:pt>
                <c:pt idx="10">
                  <c:v>0.76</c:v>
                </c:pt>
                <c:pt idx="11">
                  <c:v>0.81</c:v>
                </c:pt>
                <c:pt idx="12">
                  <c:v>0.72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2011-2012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Sheet1!$A$2:$A$14</c:f>
              <c:strCache>
                <c:ptCount val="13"/>
                <c:pt idx="0">
                  <c:v>Aberdeen</c:v>
                </c:pt>
                <c:pt idx="1">
                  <c:v>Alaska</c:v>
                </c:pt>
                <c:pt idx="2">
                  <c:v>Albuquerque</c:v>
                </c:pt>
                <c:pt idx="3">
                  <c:v>Bemidji</c:v>
                </c:pt>
                <c:pt idx="4">
                  <c:v>Billings</c:v>
                </c:pt>
                <c:pt idx="5">
                  <c:v>California</c:v>
                </c:pt>
                <c:pt idx="6">
                  <c:v>Nashville</c:v>
                </c:pt>
                <c:pt idx="7">
                  <c:v>Navajo</c:v>
                </c:pt>
                <c:pt idx="8">
                  <c:v>Oklahoma</c:v>
                </c:pt>
                <c:pt idx="9">
                  <c:v>Phoenix</c:v>
                </c:pt>
                <c:pt idx="10">
                  <c:v>Portland</c:v>
                </c:pt>
                <c:pt idx="11">
                  <c:v>Tucson</c:v>
                </c:pt>
                <c:pt idx="12">
                  <c:v>All Areas</c:v>
                </c:pt>
              </c:strCache>
            </c:strRef>
          </c:cat>
          <c:val>
            <c:numRef>
              <c:f>Sheet1!$E$2:$E$14</c:f>
              <c:numCache>
                <c:formatCode>0.0%</c:formatCode>
                <c:ptCount val="13"/>
                <c:pt idx="0">
                  <c:v>0.65</c:v>
                </c:pt>
                <c:pt idx="1">
                  <c:v>0.745</c:v>
                </c:pt>
                <c:pt idx="2">
                  <c:v>0.77</c:v>
                </c:pt>
                <c:pt idx="3">
                  <c:v>0.71499999999999997</c:v>
                </c:pt>
                <c:pt idx="4">
                  <c:v>0.73199999999999998</c:v>
                </c:pt>
                <c:pt idx="5">
                  <c:v>0.60699999999999998</c:v>
                </c:pt>
                <c:pt idx="6">
                  <c:v>0.63400000000000001</c:v>
                </c:pt>
                <c:pt idx="7">
                  <c:v>0.77900000000000003</c:v>
                </c:pt>
                <c:pt idx="8">
                  <c:v>0.82</c:v>
                </c:pt>
                <c:pt idx="9">
                  <c:v>0.83699999999999997</c:v>
                </c:pt>
                <c:pt idx="10">
                  <c:v>0.73699999999999999</c:v>
                </c:pt>
                <c:pt idx="11">
                  <c:v>0.81200000000000006</c:v>
                </c:pt>
                <c:pt idx="12">
                  <c:v>0.753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7316480"/>
        <c:axId val="37318016"/>
      </c:barChart>
      <c:catAx>
        <c:axId val="37316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 sz="90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7318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318016"/>
        <c:scaling>
          <c:orientation val="minMax"/>
          <c:max val="1"/>
          <c:min val="0"/>
        </c:scaling>
        <c:delete val="0"/>
        <c:axPos val="l"/>
        <c:majorGridlines>
          <c:spPr>
            <a:ln w="2867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286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7316480"/>
        <c:crosses val="autoZero"/>
        <c:crossBetween val="between"/>
        <c:majorUnit val="0.1"/>
        <c:minorUnit val="0.1"/>
      </c:valAx>
      <c:spPr>
        <a:solidFill>
          <a:srgbClr val="C0C0C0"/>
        </a:solidFill>
        <a:ln w="1147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883188490327601"/>
          <c:y val="0.50131233595800528"/>
          <c:w val="0.13116811509672402"/>
          <c:h val="0.2288982419397064"/>
        </c:manualLayout>
      </c:layout>
      <c:overlay val="0"/>
      <c:spPr>
        <a:noFill/>
        <a:ln w="2867">
          <a:solidFill>
            <a:srgbClr val="000000"/>
          </a:solidFill>
          <a:prstDash val="solid"/>
        </a:ln>
      </c:spPr>
      <c:txPr>
        <a:bodyPr/>
        <a:lstStyle/>
        <a:p>
          <a:pPr>
            <a:defRPr sz="975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13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597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Influenza Vaccination Coverage among HealthCare Personnel (HCP) in IHS, Tribal and Urban Indian Facilities</vt:lpstr>
    </vt:vector>
  </TitlesOfParts>
  <Manager>Amy Groom</Manager>
  <Company>IHS DEDP</Company>
  <LinksUpToDate>false</LinksUpToDate>
  <CharactersWithSpaces>4076</CharactersWithSpaces>
  <SharedDoc>false</SharedDoc>
  <HLinks>
    <vt:vector size="6" baseType="variant"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http://www.ihpes.ihs.gov/immunizations/index.cfm?module=immunizations&amp;option=reports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Influenza Vaccination Coverage among HealthCare Personnel (HCP) in IHS, Tribal and Urban Indian Facilities</dc:title>
  <dc:subject>Summary of Influenza Vaccination Coverage among HealthCare Personnel (HCP) in IHS, Tribal and Urban Indian Facilities</dc:subject>
  <dc:creator>Amy Groom</dc:creator>
  <cp:keywords>Influenza</cp:keywords>
  <cp:lastModifiedBy>Bennett</cp:lastModifiedBy>
  <cp:revision>13</cp:revision>
  <cp:lastPrinted>2010-06-04T20:47:00Z</cp:lastPrinted>
  <dcterms:created xsi:type="dcterms:W3CDTF">2012-07-13T17:59:00Z</dcterms:created>
  <dcterms:modified xsi:type="dcterms:W3CDTF">2012-07-16T21:37:00Z</dcterms:modified>
  <cp:category>Influenza Vaccine Coverage Report 2011_2012</cp:category>
</cp:coreProperties>
</file>