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6E00" w14:textId="77777777" w:rsidR="00EA6C1B" w:rsidRPr="00437E1C" w:rsidRDefault="00EA6C1B" w:rsidP="00851C28">
      <w:pPr>
        <w:spacing w:after="0" w:line="48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</w:pPr>
      <w:r w:rsidRPr="00437E1C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Sample</w:t>
      </w:r>
      <w:r w:rsidR="00851C28" w:rsidRPr="00437E1C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Medication Return</w:t>
      </w:r>
      <w:r w:rsidRPr="00437E1C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</w:t>
      </w:r>
    </w:p>
    <w:p w14:paraId="06C7CF78" w14:textId="794D1984" w:rsidR="00851C28" w:rsidRPr="00437E1C" w:rsidRDefault="00EA6C1B" w:rsidP="00851C28">
      <w:pPr>
        <w:spacing w:after="0" w:line="48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</w:pPr>
      <w:r w:rsidRPr="00437E1C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Policy </w:t>
      </w:r>
      <w:r w:rsidR="00437E1C" w:rsidRPr="00437E1C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>and</w:t>
      </w:r>
      <w:r w:rsidRPr="00437E1C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</w:rPr>
        <w:t xml:space="preserve"> Procedure</w:t>
      </w:r>
    </w:p>
    <w:p w14:paraId="3A6EDD6D" w14:textId="77777777" w:rsidR="00851C28" w:rsidRPr="00437E1C" w:rsidRDefault="00851C28" w:rsidP="00851C28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</w:rPr>
      </w:pPr>
    </w:p>
    <w:p w14:paraId="4A31663B" w14:textId="77777777" w:rsidR="00851C28" w:rsidRPr="00851C28" w:rsidRDefault="00851C28" w:rsidP="00851C28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851C28">
        <w:rPr>
          <w:rFonts w:ascii="Arial" w:eastAsia="Times New Roman" w:hAnsi="Arial" w:cs="Arial"/>
          <w:b/>
          <w:bCs/>
          <w:color w:val="333333"/>
          <w:sz w:val="45"/>
          <w:szCs w:val="45"/>
        </w:rPr>
        <w:t>Policy</w:t>
      </w:r>
    </w:p>
    <w:p w14:paraId="642BB1C9" w14:textId="4526C57F" w:rsidR="00851C28" w:rsidRDefault="005D1B33" w:rsidP="00851C2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 (</w:t>
      </w:r>
      <w:r w:rsidR="008E24C2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facility name</w:t>
      </w:r>
      <w:r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) _</w:t>
      </w:r>
      <w:r w:rsid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="008E24C2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="00851C28"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will provide medication collection with onsite </w:t>
      </w:r>
      <w:r w:rsidR="0057733E">
        <w:rPr>
          <w:rFonts w:ascii="Arial" w:eastAsia="Times New Roman" w:hAnsi="Arial" w:cs="Arial"/>
          <w:color w:val="333333"/>
          <w:sz w:val="21"/>
          <w:szCs w:val="21"/>
        </w:rPr>
        <w:t>r</w:t>
      </w:r>
      <w:r w:rsidR="0057733E" w:rsidRPr="00851C28">
        <w:rPr>
          <w:rFonts w:ascii="Arial" w:eastAsia="Times New Roman" w:hAnsi="Arial" w:cs="Arial"/>
          <w:color w:val="333333"/>
          <w:sz w:val="21"/>
          <w:szCs w:val="21"/>
        </w:rPr>
        <w:t>eceptacles</w:t>
      </w:r>
      <w:r w:rsidR="00851C2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B504960" w14:textId="77777777" w:rsidR="00851C28" w:rsidRDefault="00851C28" w:rsidP="00851C2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21BF484" w14:textId="77777777" w:rsidR="00851C28" w:rsidRPr="00851C28" w:rsidRDefault="00851C28" w:rsidP="00851C2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45"/>
          <w:szCs w:val="45"/>
        </w:rPr>
        <w:t>Purpose</w:t>
      </w:r>
    </w:p>
    <w:p w14:paraId="1580438C" w14:textId="77777777" w:rsidR="00851C28" w:rsidRPr="00851C28" w:rsidRDefault="00851C28" w:rsidP="00851C28">
      <w:pPr>
        <w:numPr>
          <w:ilvl w:val="0"/>
          <w:numId w:val="1"/>
        </w:numPr>
        <w:shd w:val="clear" w:color="auto" w:fill="FFFFFF"/>
        <w:spacing w:before="120" w:after="100" w:afterAutospacing="1" w:line="300" w:lineRule="atLeast"/>
        <w:ind w:left="54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Provide community with a safe and reliable solution for unwanted or unused pharmaceuticals</w:t>
      </w:r>
    </w:p>
    <w:p w14:paraId="74AC124B" w14:textId="77777777" w:rsidR="00851C28" w:rsidRPr="00851C28" w:rsidRDefault="00851C28" w:rsidP="00851C28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851C28">
        <w:rPr>
          <w:rFonts w:ascii="Arial" w:eastAsia="Times New Roman" w:hAnsi="Arial" w:cs="Arial"/>
          <w:b/>
          <w:bCs/>
          <w:color w:val="333333"/>
          <w:sz w:val="45"/>
          <w:szCs w:val="45"/>
        </w:rPr>
        <w:t>Procedure</w:t>
      </w:r>
    </w:p>
    <w:p w14:paraId="0846CF8B" w14:textId="77777777" w:rsidR="00851C28" w:rsidRPr="00851C28" w:rsidRDefault="00851C28" w:rsidP="00851C28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Substances allowed to be returned in the </w:t>
      </w:r>
      <w:r w:rsidR="00EA6C1B">
        <w:rPr>
          <w:rFonts w:ascii="Arial" w:eastAsia="Times New Roman" w:hAnsi="Arial" w:cs="Arial"/>
          <w:b/>
          <w:bCs/>
          <w:color w:val="333333"/>
          <w:sz w:val="21"/>
          <w:szCs w:val="21"/>
        </w:rPr>
        <w:t>medication</w:t>
      </w: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receptacle</w:t>
      </w:r>
    </w:p>
    <w:p w14:paraId="1F94CA8F" w14:textId="2018B51B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Any unwanted or unused </w:t>
      </w:r>
      <w:r w:rsidR="0057733E">
        <w:rPr>
          <w:rFonts w:ascii="Arial" w:eastAsia="Times New Roman" w:hAnsi="Arial" w:cs="Arial"/>
          <w:color w:val="333333"/>
          <w:sz w:val="21"/>
          <w:szCs w:val="21"/>
        </w:rPr>
        <w:t xml:space="preserve">prescribed (controlled and non-controlled) medications, 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>over-the-counter medications, liquid medications with a tightly closed lid, and veterinary</w:t>
      </w:r>
      <w:r w:rsidR="0057733E">
        <w:rPr>
          <w:rFonts w:ascii="Arial" w:eastAsia="Times New Roman" w:hAnsi="Arial" w:cs="Arial"/>
          <w:color w:val="333333"/>
          <w:sz w:val="21"/>
          <w:szCs w:val="21"/>
        </w:rPr>
        <w:t xml:space="preserve"> (pet)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medications</w:t>
      </w:r>
    </w:p>
    <w:p w14:paraId="2A2B993B" w14:textId="77777777" w:rsidR="00851C28" w:rsidRPr="00851C28" w:rsidRDefault="00851C28" w:rsidP="00851C28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Substances not allowed in the </w:t>
      </w:r>
      <w:r w:rsidR="00EA6C1B">
        <w:rPr>
          <w:rFonts w:ascii="Arial" w:eastAsia="Times New Roman" w:hAnsi="Arial" w:cs="Arial"/>
          <w:b/>
          <w:bCs/>
          <w:color w:val="333333"/>
          <w:sz w:val="21"/>
          <w:szCs w:val="21"/>
        </w:rPr>
        <w:t>medication</w:t>
      </w: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receptacle</w:t>
      </w:r>
    </w:p>
    <w:p w14:paraId="65A238A2" w14:textId="77777777" w:rsidR="00851C28" w:rsidRPr="00851C28" w:rsidRDefault="0057733E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Illicit</w:t>
      </w:r>
      <w:r w:rsidR="00851C28"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drugs (e.g. schedule 1 controlled substances such as marijuana, heroin, LSD) are not to be placed in receptacle</w:t>
      </w:r>
    </w:p>
    <w:p w14:paraId="1B6394A4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Hazardous medications are not to be placed in receptacle</w:t>
      </w:r>
    </w:p>
    <w:p w14:paraId="564A1FBC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Sharps</w:t>
      </w:r>
      <w:r w:rsidR="0057733E">
        <w:rPr>
          <w:rFonts w:ascii="Arial" w:eastAsia="Times New Roman" w:hAnsi="Arial" w:cs="Arial"/>
          <w:color w:val="333333"/>
          <w:sz w:val="21"/>
          <w:szCs w:val="21"/>
        </w:rPr>
        <w:t xml:space="preserve"> (e.g. used or unused syringes, needles or lancets)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are not to be placed in receptacle</w:t>
      </w:r>
    </w:p>
    <w:p w14:paraId="74B04610" w14:textId="77777777" w:rsidR="00851C28" w:rsidRPr="00851C28" w:rsidRDefault="00851C28" w:rsidP="00851C28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>Unwanted medications may be disposed of by</w:t>
      </w:r>
    </w:p>
    <w:p w14:paraId="297CBAB1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a person who has lawfully obtained, and who possesses, a controlled substance for his/her own use or for the use of a member of his/her household or for an animal owned by him/her</w:t>
      </w:r>
    </w:p>
    <w:p w14:paraId="3112DAEA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A person lawfully entitled to dispose of a person’s medications</w:t>
      </w:r>
    </w:p>
    <w:p w14:paraId="3B6508D7" w14:textId="77777777" w:rsidR="00851C28" w:rsidRPr="00851C28" w:rsidRDefault="00851C28" w:rsidP="00851C28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>Inspection, Installation, and removal of receptacle liner</w:t>
      </w:r>
    </w:p>
    <w:p w14:paraId="2E110509" w14:textId="3057CCFB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Shall be performed under the supervision of 2 </w:t>
      </w:r>
      <w:r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="008E24C2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(facility name)_</w:t>
      </w:r>
      <w:r w:rsid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employees</w:t>
      </w:r>
    </w:p>
    <w:p w14:paraId="5DFAF772" w14:textId="07323511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One of the employees will be a </w:t>
      </w:r>
      <w:r w:rsidR="008E24C2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_(facility name)</w:t>
      </w:r>
      <w:r w:rsid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="008E24C2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="008E24C2"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pharmacist</w:t>
      </w:r>
    </w:p>
    <w:p w14:paraId="7FF3ADB2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All inspections, installations, and removals of liners shall be documented in </w:t>
      </w:r>
      <w:r w:rsidR="008E69B1">
        <w:rPr>
          <w:rFonts w:ascii="Arial" w:eastAsia="Times New Roman" w:hAnsi="Arial" w:cs="Arial"/>
          <w:color w:val="333333"/>
          <w:sz w:val="21"/>
          <w:szCs w:val="21"/>
        </w:rPr>
        <w:t>medication receptacle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log</w:t>
      </w:r>
      <w:bookmarkStart w:id="0" w:name="_GoBack"/>
      <w:bookmarkEnd w:id="0"/>
    </w:p>
    <w:p w14:paraId="425B8B56" w14:textId="77777777" w:rsidR="00851C28" w:rsidRPr="00851C28" w:rsidRDefault="00851C28" w:rsidP="00851C28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>Preparing Return Box for use</w:t>
      </w:r>
    </w:p>
    <w:p w14:paraId="4CFD3DE1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lastRenderedPageBreak/>
        <w:t>Prepare the cardboard box, place 1 integrity seal across the middle where the flaps meet then seal the bottom flaps with packaging tape</w:t>
      </w:r>
    </w:p>
    <w:p w14:paraId="2A3BC033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Fold the top flaps down to the outside of the box. Do not fold top flaps inside the box</w:t>
      </w:r>
    </w:p>
    <w:p w14:paraId="514927BD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Open liner and document the liner's identification number on the return packing list</w:t>
      </w:r>
    </w:p>
    <w:p w14:paraId="7E8654E0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Place the liner inside the box and fold the liner over the box</w:t>
      </w:r>
    </w:p>
    <w:p w14:paraId="0272FFB4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Place 1 of the adsorbent pads in the bottom of the bag (liner)</w:t>
      </w:r>
    </w:p>
    <w:p w14:paraId="10C84647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Place prepared box with liner inside collection unit</w:t>
      </w:r>
    </w:p>
    <w:p w14:paraId="6E3CD9E0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Identify the numbered seal (tie), and document the number on the return packing list</w:t>
      </w:r>
    </w:p>
    <w:p w14:paraId="2F7F4D2E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Return the packing list, instructions, and numbered seal in the zippered plastic bag and place into the bottom of the </w:t>
      </w:r>
      <w:r w:rsidR="00EA6C1B">
        <w:rPr>
          <w:rFonts w:ascii="Arial" w:eastAsia="Times New Roman" w:hAnsi="Arial" w:cs="Arial"/>
          <w:color w:val="333333"/>
          <w:sz w:val="21"/>
          <w:szCs w:val="21"/>
        </w:rPr>
        <w:t>medication receptacle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unit to be available when unit is full and ready for disposal</w:t>
      </w:r>
    </w:p>
    <w:p w14:paraId="41C09947" w14:textId="77777777" w:rsidR="00851C28" w:rsidRPr="00851C28" w:rsidRDefault="00851C28" w:rsidP="00851C28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>Inspection, and Shipping</w:t>
      </w:r>
    </w:p>
    <w:p w14:paraId="14C52225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Inspection of the receptacle should be performed by a pharmacist and a witness</w:t>
      </w:r>
    </w:p>
    <w:p w14:paraId="69BBA7C0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Inspection should occur on at least monthly basis</w:t>
      </w:r>
    </w:p>
    <w:p w14:paraId="5F1F676F" w14:textId="79E520A8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Inspections should be documented </w:t>
      </w:r>
      <w:r w:rsidR="008E69B1">
        <w:rPr>
          <w:rFonts w:ascii="Arial" w:eastAsia="Times New Roman" w:hAnsi="Arial" w:cs="Arial"/>
          <w:color w:val="333333"/>
          <w:sz w:val="21"/>
          <w:szCs w:val="21"/>
        </w:rPr>
        <w:t>on medication receptacle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17BAA">
        <w:rPr>
          <w:rFonts w:ascii="Arial" w:eastAsia="Times New Roman" w:hAnsi="Arial" w:cs="Arial"/>
          <w:color w:val="333333"/>
          <w:sz w:val="21"/>
          <w:szCs w:val="21"/>
        </w:rPr>
        <w:t>l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>og</w:t>
      </w:r>
    </w:p>
    <w:p w14:paraId="52D002BC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When inspection reveals the box is full, the following will be completed:</w:t>
      </w:r>
    </w:p>
    <w:p w14:paraId="1105D857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Place the remaining adsorbent pad on the top of the product in the bag (liner)</w:t>
      </w:r>
    </w:p>
    <w:p w14:paraId="2849469E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Gather the excess of the liner and seal it closed using the numbered seal</w:t>
      </w:r>
    </w:p>
    <w:p w14:paraId="1E26DA0A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Complete the packing list form completely and place inside the packing list pouch</w:t>
      </w:r>
    </w:p>
    <w:p w14:paraId="538785C7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Affix the packing list pouch to the outside of the box</w:t>
      </w:r>
    </w:p>
    <w:p w14:paraId="1123FC76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Close box top and place integrity seal in the center of the box where the flaps meet</w:t>
      </w:r>
    </w:p>
    <w:p w14:paraId="2C98F430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Secure with packaging tape</w:t>
      </w:r>
    </w:p>
    <w:p w14:paraId="02DCAD8F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Affix the return shipping label</w:t>
      </w:r>
    </w:p>
    <w:p w14:paraId="66FAEB70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Box should be stored in a secure locked cabinet or securely locked room with limited access until transfer</w:t>
      </w:r>
    </w:p>
    <w:p w14:paraId="43271323" w14:textId="77777777" w:rsidR="00851C28" w:rsidRPr="00851C28" w:rsidRDefault="00851C28" w:rsidP="00851C28">
      <w:pPr>
        <w:numPr>
          <w:ilvl w:val="1"/>
          <w:numId w:val="2"/>
        </w:numPr>
        <w:shd w:val="clear" w:color="auto" w:fill="FFFFFF"/>
        <w:spacing w:before="120" w:after="100" w:afterAutospacing="1" w:line="300" w:lineRule="atLeast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>Shipping</w:t>
      </w:r>
    </w:p>
    <w:p w14:paraId="4D160253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Visit</w:t>
      </w:r>
      <w:r w:rsidR="005910BC">
        <w:rPr>
          <w:rFonts w:ascii="Arial" w:eastAsia="Times New Roman" w:hAnsi="Arial" w:cs="Arial"/>
          <w:color w:val="333333"/>
          <w:sz w:val="21"/>
          <w:szCs w:val="21"/>
        </w:rPr>
        <w:t xml:space="preserve"> common carrier website at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910BC">
        <w:rPr>
          <w:rFonts w:ascii="Arial" w:eastAsia="Times New Roman" w:hAnsi="Arial" w:cs="Arial"/>
          <w:color w:val="333333"/>
          <w:sz w:val="21"/>
          <w:szCs w:val="21"/>
        </w:rPr>
        <w:t>__________</w:t>
      </w:r>
    </w:p>
    <w:p w14:paraId="60641779" w14:textId="1B4A769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Go to shipping tab and select "Schedule a </w:t>
      </w:r>
      <w:r w:rsidR="005D1B33" w:rsidRPr="00851C28">
        <w:rPr>
          <w:rFonts w:ascii="Arial" w:eastAsia="Times New Roman" w:hAnsi="Arial" w:cs="Arial"/>
          <w:color w:val="333333"/>
          <w:sz w:val="21"/>
          <w:szCs w:val="21"/>
        </w:rPr>
        <w:t>pickup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>"</w:t>
      </w:r>
    </w:p>
    <w:p w14:paraId="7AE55751" w14:textId="1AD5A2FA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Answer yes to question</w:t>
      </w:r>
      <w:r w:rsidR="00FA0461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17BAA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if have </w:t>
      </w:r>
      <w:r w:rsidR="005D1B33" w:rsidRPr="00851C28">
        <w:rPr>
          <w:rFonts w:ascii="Arial" w:eastAsia="Times New Roman" w:hAnsi="Arial" w:cs="Arial"/>
          <w:color w:val="333333"/>
          <w:sz w:val="21"/>
          <w:szCs w:val="21"/>
        </w:rPr>
        <w:t>preprinted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910BC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(common carrier)_</w:t>
      </w:r>
      <w:r w:rsidR="005910BC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Pr="008E24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17BAA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hipping </w:t>
      </w:r>
      <w:r w:rsidR="00217BAA">
        <w:rPr>
          <w:rFonts w:ascii="Arial" w:eastAsia="Times New Roman" w:hAnsi="Arial" w:cs="Arial"/>
          <w:color w:val="333333"/>
          <w:sz w:val="21"/>
          <w:szCs w:val="21"/>
        </w:rPr>
        <w:t>l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>abels for shipment</w:t>
      </w:r>
      <w:r w:rsidR="00217BAA">
        <w:rPr>
          <w:rFonts w:ascii="Arial" w:eastAsia="Times New Roman" w:hAnsi="Arial" w:cs="Arial"/>
          <w:color w:val="333333"/>
          <w:sz w:val="21"/>
          <w:szCs w:val="21"/>
        </w:rPr>
        <w:t>”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and enter tracking number listed on </w:t>
      </w:r>
      <w:r w:rsidR="005D1B33" w:rsidRPr="00851C28">
        <w:rPr>
          <w:rFonts w:ascii="Arial" w:eastAsia="Times New Roman" w:hAnsi="Arial" w:cs="Arial"/>
          <w:color w:val="333333"/>
          <w:sz w:val="21"/>
          <w:szCs w:val="21"/>
        </w:rPr>
        <w:t>preprinted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shipping label</w:t>
      </w:r>
    </w:p>
    <w:p w14:paraId="4B53C0E0" w14:textId="475F0E94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Provide an account number and zip code, use account number</w:t>
      </w:r>
      <w:r w:rsidR="005910BC">
        <w:rPr>
          <w:rFonts w:ascii="Arial" w:eastAsia="Times New Roman" w:hAnsi="Arial" w:cs="Arial"/>
          <w:color w:val="333333"/>
          <w:sz w:val="21"/>
          <w:szCs w:val="21"/>
        </w:rPr>
        <w:t>___</w:t>
      </w:r>
      <w:r w:rsidR="00217BAA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="005910BC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, and zip code </w:t>
      </w:r>
      <w:r w:rsidR="005910BC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="00217BAA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="005910BC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14:paraId="671B345A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Uncheck</w:t>
      </w: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>box schedule your on call pick up below the account number (you are </w:t>
      </w:r>
      <w:r w:rsidRPr="00851C28">
        <w:rPr>
          <w:rFonts w:ascii="Arial" w:eastAsia="Times New Roman" w:hAnsi="Arial" w:cs="Arial"/>
          <w:b/>
          <w:bCs/>
          <w:color w:val="333333"/>
          <w:sz w:val="21"/>
          <w:szCs w:val="21"/>
        </w:rPr>
        <w:t>not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> scheduling an on call pick up)</w:t>
      </w:r>
    </w:p>
    <w:p w14:paraId="19B45EE1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>Continue filling out facility's information as requested</w:t>
      </w:r>
    </w:p>
    <w:p w14:paraId="37A88CB8" w14:textId="43075A0C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Schedule a pickup via </w:t>
      </w:r>
      <w:r w:rsidR="004F4C0E" w:rsidRPr="008E24C2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_</w:t>
      </w:r>
      <w:r w:rsidR="004F4C0E">
        <w:rPr>
          <w:rFonts w:ascii="Arial" w:eastAsia="Times New Roman" w:hAnsi="Arial" w:cs="Arial"/>
          <w:i/>
          <w:color w:val="333333"/>
          <w:sz w:val="20"/>
          <w:szCs w:val="20"/>
          <w:u w:val="single"/>
        </w:rPr>
        <w:t>(common carrier)</w:t>
      </w: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 ground</w:t>
      </w:r>
    </w:p>
    <w:p w14:paraId="582B4469" w14:textId="77777777" w:rsidR="00851C28" w:rsidRPr="00851C28" w:rsidRDefault="00851C28" w:rsidP="00851C28">
      <w:pPr>
        <w:numPr>
          <w:ilvl w:val="2"/>
          <w:numId w:val="2"/>
        </w:numPr>
        <w:shd w:val="clear" w:color="auto" w:fill="FFFFFF"/>
        <w:spacing w:before="120" w:after="100" w:afterAutospacing="1" w:line="300" w:lineRule="atLeast"/>
        <w:ind w:left="1350"/>
        <w:rPr>
          <w:rFonts w:ascii="Arial" w:eastAsia="Times New Roman" w:hAnsi="Arial" w:cs="Arial"/>
          <w:color w:val="333333"/>
          <w:sz w:val="21"/>
          <w:szCs w:val="21"/>
        </w:rPr>
      </w:pPr>
      <w:r w:rsidRPr="00851C28">
        <w:rPr>
          <w:rFonts w:ascii="Arial" w:eastAsia="Times New Roman" w:hAnsi="Arial" w:cs="Arial"/>
          <w:color w:val="333333"/>
          <w:sz w:val="21"/>
          <w:szCs w:val="21"/>
        </w:rPr>
        <w:t xml:space="preserve">Ship to : 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14:paraId="0EEC5A9F" w14:textId="77777777" w:rsidR="001B430D" w:rsidRDefault="001B430D"/>
    <w:sectPr w:rsidR="001B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1B97" w14:textId="77777777" w:rsidR="00876FB1" w:rsidRDefault="00876FB1" w:rsidP="00876FB1">
      <w:pPr>
        <w:spacing w:after="0" w:line="240" w:lineRule="auto"/>
      </w:pPr>
      <w:r>
        <w:separator/>
      </w:r>
    </w:p>
  </w:endnote>
  <w:endnote w:type="continuationSeparator" w:id="0">
    <w:p w14:paraId="63269E0C" w14:textId="77777777" w:rsidR="00876FB1" w:rsidRDefault="00876FB1" w:rsidP="0087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B352" w14:textId="77777777" w:rsidR="00876FB1" w:rsidRDefault="00876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0263" w14:textId="77777777" w:rsidR="00876FB1" w:rsidRDefault="00876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A818" w14:textId="77777777" w:rsidR="00876FB1" w:rsidRDefault="00876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5A3F" w14:textId="77777777" w:rsidR="00876FB1" w:rsidRDefault="00876FB1" w:rsidP="00876FB1">
      <w:pPr>
        <w:spacing w:after="0" w:line="240" w:lineRule="auto"/>
      </w:pPr>
      <w:r>
        <w:separator/>
      </w:r>
    </w:p>
  </w:footnote>
  <w:footnote w:type="continuationSeparator" w:id="0">
    <w:p w14:paraId="2E5C15FB" w14:textId="77777777" w:rsidR="00876FB1" w:rsidRDefault="00876FB1" w:rsidP="0087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72E7" w14:textId="77777777" w:rsidR="00876FB1" w:rsidRDefault="00876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21AB" w14:textId="77777777" w:rsidR="00876FB1" w:rsidRDefault="00876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96270" w14:textId="77777777" w:rsidR="00876FB1" w:rsidRDefault="00876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122"/>
    <w:multiLevelType w:val="multilevel"/>
    <w:tmpl w:val="C8420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11526"/>
    <w:multiLevelType w:val="multilevel"/>
    <w:tmpl w:val="F0A478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D"/>
    <w:rsid w:val="001B430D"/>
    <w:rsid w:val="00217BAA"/>
    <w:rsid w:val="00437E1C"/>
    <w:rsid w:val="004F4C0E"/>
    <w:rsid w:val="0057733E"/>
    <w:rsid w:val="005910BC"/>
    <w:rsid w:val="005D1B33"/>
    <w:rsid w:val="00851C28"/>
    <w:rsid w:val="00876FB1"/>
    <w:rsid w:val="008E24C2"/>
    <w:rsid w:val="008E69B1"/>
    <w:rsid w:val="00A46865"/>
    <w:rsid w:val="00AA5ECD"/>
    <w:rsid w:val="00EA6C1B"/>
    <w:rsid w:val="00F74D5E"/>
    <w:rsid w:val="00FA0461"/>
    <w:rsid w:val="00F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3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nametext">
    <w:name w:val="doc_name_text"/>
    <w:basedOn w:val="DefaultParagraphFont"/>
    <w:rsid w:val="00851C28"/>
  </w:style>
  <w:style w:type="character" w:styleId="CommentReference">
    <w:name w:val="annotation reference"/>
    <w:basedOn w:val="DefaultParagraphFont"/>
    <w:uiPriority w:val="99"/>
    <w:semiHidden/>
    <w:unhideWhenUsed/>
    <w:rsid w:val="0057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B1"/>
  </w:style>
  <w:style w:type="paragraph" w:styleId="Footer">
    <w:name w:val="footer"/>
    <w:basedOn w:val="Normal"/>
    <w:link w:val="FooterChar"/>
    <w:uiPriority w:val="99"/>
    <w:unhideWhenUsed/>
    <w:rsid w:val="0087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2022-05-12T23:54:00Z</dcterms:created>
  <dcterms:modified xsi:type="dcterms:W3CDTF">2022-05-12T23:54:00Z</dcterms:modified>
</cp:coreProperties>
</file>