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E4" w:rsidRDefault="00E31405" w:rsidP="00883CE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BA059" wp14:editId="20B34442">
                <wp:simplePos x="0" y="0"/>
                <wp:positionH relativeFrom="column">
                  <wp:posOffset>3663950</wp:posOffset>
                </wp:positionH>
                <wp:positionV relativeFrom="paragraph">
                  <wp:posOffset>-871220</wp:posOffset>
                </wp:positionV>
                <wp:extent cx="2772410" cy="473075"/>
                <wp:effectExtent l="0" t="0" r="2794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473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A65" w:rsidRPr="00EA0EFA" w:rsidRDefault="00FC47BB" w:rsidP="00303A6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Medical Manual</w:t>
                            </w:r>
                          </w:p>
                          <w:p w:rsidR="00303A65" w:rsidRPr="00EA0EFA" w:rsidRDefault="00303A65" w:rsidP="00303A65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Taos-Picuris Service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2BA0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5pt;margin-top:-68.6pt;width:218.3pt;height:37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" fillcolor="black">
                <v:textbox style="mso-fit-shape-to-text:t">
                  <w:txbxContent>
                    <w:p w:rsidR="00303A65" w:rsidRPr="00EA0EFA" w:rsidRDefault="00FC47BB" w:rsidP="00303A65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Medical Manual</w:t>
                      </w:r>
                    </w:p>
                    <w:p w:rsidR="00303A65" w:rsidRPr="00EA0EFA" w:rsidRDefault="00303A65" w:rsidP="00303A65">
                      <w:pPr>
                        <w:jc w:val="center"/>
                        <w:rPr>
                          <w:rFonts w:ascii="Calibri" w:hAnsi="Calibri"/>
                          <w:color w:val="FFFFFF"/>
                        </w:rPr>
                      </w:pPr>
                      <w:r>
                        <w:rPr>
                          <w:rFonts w:ascii="Calibri" w:hAnsi="Calibri" w:cs="Arial"/>
                        </w:rPr>
                        <w:t>Taos-Picuris Service Unit</w:t>
                      </w:r>
                    </w:p>
                  </w:txbxContent>
                </v:textbox>
              </v:shape>
            </w:pict>
          </mc:Fallback>
        </mc:AlternateContent>
      </w:r>
      <w:r w:rsidR="00883CE4">
        <w:rPr>
          <w:b/>
          <w:bCs/>
        </w:rPr>
        <w:t>SPECIAL DIABETES PROJECT FOR INDIANS (SDPI) – HEALTHY HEART CASE MANAGEMENT PROGRAM</w:t>
      </w:r>
    </w:p>
    <w:p w:rsidR="00883CE4" w:rsidRDefault="00883CE4" w:rsidP="00883CE4">
      <w:pPr>
        <w:rPr>
          <w:b/>
          <w:bCs/>
        </w:rPr>
      </w:pPr>
    </w:p>
    <w:p w:rsidR="00883CE4" w:rsidRDefault="00883CE4" w:rsidP="00883CE4">
      <w:r>
        <w:rPr>
          <w:b/>
          <w:bCs/>
        </w:rPr>
        <w:t>PURPOSE:</w:t>
      </w:r>
      <w:r>
        <w:rPr>
          <w:b/>
          <w:bCs/>
        </w:rPr>
        <w:tab/>
      </w:r>
      <w:r>
        <w:t xml:space="preserve">To define the </w:t>
      </w:r>
      <w:r w:rsidR="00837DC1">
        <w:t xml:space="preserve">general structure and function of the Healthy Heart Case Management Program </w:t>
      </w:r>
    </w:p>
    <w:p w:rsidR="00883CE4" w:rsidRDefault="00883CE4" w:rsidP="00883CE4">
      <w:bookmarkStart w:id="0" w:name="_GoBack"/>
      <w:bookmarkEnd w:id="0"/>
    </w:p>
    <w:p w:rsidR="00883CE4" w:rsidRDefault="00883CE4" w:rsidP="00883CE4">
      <w:pPr>
        <w:rPr>
          <w:b/>
          <w:bCs/>
        </w:rPr>
      </w:pPr>
      <w:r>
        <w:rPr>
          <w:b/>
          <w:bCs/>
        </w:rPr>
        <w:t>PROCEDURE:</w:t>
      </w:r>
    </w:p>
    <w:p w:rsidR="00883CE4" w:rsidRDefault="00883CE4" w:rsidP="00883CE4">
      <w:pPr>
        <w:rPr>
          <w:b/>
          <w:bCs/>
        </w:rPr>
      </w:pPr>
    </w:p>
    <w:p w:rsidR="00837DC1" w:rsidRDefault="00837DC1" w:rsidP="00837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Functional Statement</w:t>
      </w:r>
    </w:p>
    <w:p w:rsidR="00837DC1" w:rsidRDefault="00837DC1" w:rsidP="00837DC1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The Special Diabetes Project for Indians is a grant funded program.</w:t>
      </w:r>
    </w:p>
    <w:p w:rsidR="00837DC1" w:rsidRDefault="00837DC1" w:rsidP="00837DC1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It is designed to help reduce cardiac risks associated with Diabetes.</w:t>
      </w:r>
    </w:p>
    <w:p w:rsidR="00837DC1" w:rsidRDefault="00837DC1" w:rsidP="00837DC1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It is also designed to promote improved understanding and better self-management skills for the patients served</w:t>
      </w:r>
    </w:p>
    <w:p w:rsidR="00837DC1" w:rsidRDefault="00837DC1" w:rsidP="00837DC1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In order to accomplish these goals, the project has a director, case managers, program assistant and medical director</w:t>
      </w:r>
    </w:p>
    <w:p w:rsidR="00837DC1" w:rsidRDefault="00837DC1" w:rsidP="00837DC1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This policy will define the project structure, communication processes, reporting compliance plan, and quality assurance.</w:t>
      </w:r>
    </w:p>
    <w:p w:rsidR="00837DC1" w:rsidRDefault="00837DC1" w:rsidP="00B658B6">
      <w:pPr>
        <w:pStyle w:val="ListParagraph"/>
        <w:ind w:left="1440"/>
        <w:rPr>
          <w:b/>
          <w:bCs/>
        </w:rPr>
      </w:pPr>
    </w:p>
    <w:p w:rsidR="00837DC1" w:rsidRDefault="00837DC1" w:rsidP="00837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Minutes</w:t>
      </w:r>
    </w:p>
    <w:p w:rsidR="00B658B6" w:rsidRDefault="00B658B6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All meeting minutes and correspondence will be recorded within one week of the meeting and maintained in the HH intranet files.</w:t>
      </w:r>
    </w:p>
    <w:p w:rsidR="00B658B6" w:rsidRDefault="00B658B6" w:rsidP="00B658B6">
      <w:pPr>
        <w:pStyle w:val="ListParagraph"/>
        <w:ind w:left="1440"/>
        <w:rPr>
          <w:b/>
          <w:bCs/>
        </w:rPr>
      </w:pPr>
    </w:p>
    <w:p w:rsidR="00837DC1" w:rsidRDefault="00837DC1" w:rsidP="00837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Information Flow</w:t>
      </w:r>
    </w:p>
    <w:p w:rsidR="00B658B6" w:rsidRDefault="00B658B6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Communication to outside agents will go thru the Project Director. </w:t>
      </w:r>
    </w:p>
    <w:p w:rsidR="00B658B6" w:rsidRDefault="00B658B6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Each Case Manager is responsible for his/her own programs.</w:t>
      </w:r>
    </w:p>
    <w:p w:rsidR="00B658B6" w:rsidRDefault="00B658B6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Various communication methods will be employed to include radio, verbal forums, printed and newsletter formats.</w:t>
      </w:r>
    </w:p>
    <w:p w:rsidR="00B658B6" w:rsidRDefault="00B658B6" w:rsidP="00B658B6">
      <w:pPr>
        <w:pStyle w:val="ListParagraph"/>
        <w:ind w:left="1440"/>
        <w:rPr>
          <w:b/>
          <w:bCs/>
        </w:rPr>
      </w:pPr>
    </w:p>
    <w:p w:rsidR="00837DC1" w:rsidRDefault="00837DC1" w:rsidP="00837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Reporting Requirements</w:t>
      </w:r>
    </w:p>
    <w:p w:rsidR="00B658B6" w:rsidRDefault="00B658B6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It will be the responsibility of each Case Manager to enter data obtained into the Coordinating Centers web-based programs.</w:t>
      </w:r>
    </w:p>
    <w:p w:rsidR="00B658B6" w:rsidRDefault="00B658B6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The Project Director will review all data and lock it to the system</w:t>
      </w:r>
    </w:p>
    <w:p w:rsidR="00B658B6" w:rsidRDefault="00B658B6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The Project Director may delegate Error Report Listing resolution to any Case Manager as needed to complete work.</w:t>
      </w:r>
    </w:p>
    <w:p w:rsidR="000F3200" w:rsidRDefault="000F3200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The Project Director will prepare </w:t>
      </w:r>
    </w:p>
    <w:p w:rsidR="000F3200" w:rsidRDefault="000F3200" w:rsidP="000F3200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annual report to the TPSU Health Board</w:t>
      </w:r>
    </w:p>
    <w:p w:rsidR="000F3200" w:rsidRDefault="000F3200" w:rsidP="000F3200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biannual reports to TPSU Executive Leadership</w:t>
      </w:r>
    </w:p>
    <w:p w:rsidR="000F3200" w:rsidRDefault="000F3200" w:rsidP="000F3200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Medical Staff reports on an as needed basis</w:t>
      </w:r>
    </w:p>
    <w:p w:rsidR="000F3200" w:rsidRDefault="000F3200" w:rsidP="000F3200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Other reports/ presentations as directed</w:t>
      </w:r>
    </w:p>
    <w:p w:rsidR="00B658B6" w:rsidRDefault="00B658B6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Quality Assurance – The project director is responsible for developing a quality assurance program that meets external and internal requirements for evaluation of quality diabetes programming.</w:t>
      </w:r>
    </w:p>
    <w:p w:rsidR="0058771B" w:rsidRDefault="0058771B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Quality Assurance – Pharmacy medication review will be completed by the Pharmacy department.  The Project Director will supply notification of monthly annual assessments due.</w:t>
      </w:r>
    </w:p>
    <w:p w:rsidR="00837DC1" w:rsidRDefault="00837DC1" w:rsidP="00837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Standing Meetings</w:t>
      </w:r>
    </w:p>
    <w:p w:rsidR="00B658B6" w:rsidRDefault="00B658B6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There will be two Case Management meetings per month to include schedules, upcoming programs, status of funds, </w:t>
      </w:r>
      <w:r w:rsidR="00E31405">
        <w:rPr>
          <w:b/>
          <w:bCs/>
        </w:rPr>
        <w:t>and patient</w:t>
      </w:r>
      <w:r>
        <w:rPr>
          <w:b/>
          <w:bCs/>
        </w:rPr>
        <w:t xml:space="preserve"> management with provider.  The medical director will participate in at least one meeting per month.</w:t>
      </w:r>
    </w:p>
    <w:p w:rsidR="00B658B6" w:rsidRDefault="00B658B6" w:rsidP="00B658B6">
      <w:pPr>
        <w:pStyle w:val="ListParagraph"/>
        <w:ind w:left="1440"/>
        <w:rPr>
          <w:b/>
          <w:bCs/>
        </w:rPr>
      </w:pPr>
    </w:p>
    <w:p w:rsidR="00837DC1" w:rsidRDefault="00837DC1" w:rsidP="00837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Group/Community Activities</w:t>
      </w:r>
    </w:p>
    <w:p w:rsidR="00B658B6" w:rsidRPr="00837DC1" w:rsidRDefault="00B658B6" w:rsidP="00B658B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 calendar of events will be distributed at least one month prior to the on-coming month and include at least one physical activity, and two educational based programs per month.</w:t>
      </w:r>
    </w:p>
    <w:sectPr w:rsidR="00B658B6" w:rsidRPr="00837DC1" w:rsidSect="001E6A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A6" w:rsidRDefault="000D36A6" w:rsidP="00883CE4">
      <w:r>
        <w:separator/>
      </w:r>
    </w:p>
  </w:endnote>
  <w:endnote w:type="continuationSeparator" w:id="0">
    <w:p w:rsidR="000D36A6" w:rsidRDefault="000D36A6" w:rsidP="0088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A6" w:rsidRDefault="000D36A6" w:rsidP="00883CE4">
      <w:r>
        <w:separator/>
      </w:r>
    </w:p>
  </w:footnote>
  <w:footnote w:type="continuationSeparator" w:id="0">
    <w:p w:rsidR="000D36A6" w:rsidRDefault="000D36A6" w:rsidP="0088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EA" w:rsidRDefault="000D36A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31405">
          <w:rPr>
            <w:rFonts w:asciiTheme="majorHAnsi" w:eastAsiaTheme="majorEastAsia" w:hAnsiTheme="majorHAnsi" w:cstheme="majorBidi"/>
            <w:sz w:val="32"/>
            <w:szCs w:val="32"/>
          </w:rPr>
          <w:t>Taos-Picuris Service Unit – Medical Manual</w:t>
        </w:r>
      </w:sdtContent>
    </w:sdt>
  </w:p>
  <w:p w:rsidR="00883CE4" w:rsidRDefault="00C767EA" w:rsidP="00E31405">
    <w:pPr>
      <w:pStyle w:val="Header"/>
      <w:spacing w:before="120" w:after="360"/>
      <w:jc w:val="right"/>
    </w:pPr>
    <w:r>
      <w:t>8/2/2011 3:30 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851"/>
    <w:multiLevelType w:val="hybridMultilevel"/>
    <w:tmpl w:val="8ED8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E4"/>
    <w:rsid w:val="0009701A"/>
    <w:rsid w:val="000D36A6"/>
    <w:rsid w:val="000F3200"/>
    <w:rsid w:val="00122341"/>
    <w:rsid w:val="00147F3C"/>
    <w:rsid w:val="001B1571"/>
    <w:rsid w:val="001E6AA2"/>
    <w:rsid w:val="0024408C"/>
    <w:rsid w:val="00303570"/>
    <w:rsid w:val="00303A65"/>
    <w:rsid w:val="00410D7C"/>
    <w:rsid w:val="0058771B"/>
    <w:rsid w:val="005F4ABA"/>
    <w:rsid w:val="00652531"/>
    <w:rsid w:val="006A7763"/>
    <w:rsid w:val="00731BE9"/>
    <w:rsid w:val="00747135"/>
    <w:rsid w:val="00837DC1"/>
    <w:rsid w:val="00883CE4"/>
    <w:rsid w:val="00A80049"/>
    <w:rsid w:val="00A90F97"/>
    <w:rsid w:val="00B658B6"/>
    <w:rsid w:val="00BF02D0"/>
    <w:rsid w:val="00C22C8B"/>
    <w:rsid w:val="00C2486D"/>
    <w:rsid w:val="00C767EA"/>
    <w:rsid w:val="00CC4319"/>
    <w:rsid w:val="00DD47A0"/>
    <w:rsid w:val="00E20C7C"/>
    <w:rsid w:val="00E31405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57D5AF-B720-4076-B6ED-3AF84C8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C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CE4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E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TAOS-PICURIS SERVICE UNIT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MANUAL – HEALTHY HEART CASE MANAGEMENT</vt:lpstr>
    </vt:vector>
  </TitlesOfParts>
  <Company>Taos Health Center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Taos-Picuris Service Unit – Medical Manual</dc:title>
  <dc:subject>Taos-Picuris Service Unit – Medical Manual</dc:subject>
  <dc:creator>IHS/SDPI</dc:creator>
  <cp:keywords>Taos-Picuris Service Unit – Medical Manual</cp:keywords>
  <cp:lastModifiedBy>Waquie, Janell F (IHS/HQ) [C]</cp:lastModifiedBy>
  <cp:revision>3</cp:revision>
  <cp:lastPrinted>2011-08-15T14:46:00Z</cp:lastPrinted>
  <dcterms:created xsi:type="dcterms:W3CDTF">2015-06-17T14:14:00Z</dcterms:created>
  <dcterms:modified xsi:type="dcterms:W3CDTF">2015-06-17T14:17:00Z</dcterms:modified>
</cp:coreProperties>
</file>